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08D9" w:rsidRDefault="00AE08D9" w:rsidP="007347D6">
      <w:pPr>
        <w:autoSpaceDE w:val="0"/>
        <w:autoSpaceDN w:val="0"/>
        <w:adjustRightInd w:val="0"/>
        <w:spacing w:after="0" w:line="240" w:lineRule="auto"/>
        <w:jc w:val="both"/>
        <w:rPr>
          <w:rFonts w:ascii="ITCAvantGardeStd-Demi" w:hAnsi="ITCAvantGardeStd-Demi" w:cs="ITCAvantGardeStd-Demi"/>
          <w:color w:val="4D6273"/>
          <w:sz w:val="96"/>
          <w:szCs w:val="96"/>
        </w:rPr>
      </w:pPr>
      <w:r>
        <w:rPr>
          <w:noProof/>
          <w:lang w:eastAsia="fr-FR"/>
        </w:rPr>
        <w:drawing>
          <wp:anchor distT="0" distB="0" distL="114300" distR="114300" simplePos="0" relativeHeight="251664384" behindDoc="1" locked="0" layoutInCell="1" allowOverlap="1" wp14:anchorId="20E77C85" wp14:editId="6BA0B8CE">
            <wp:simplePos x="0" y="0"/>
            <wp:positionH relativeFrom="column">
              <wp:posOffset>-957580</wp:posOffset>
            </wp:positionH>
            <wp:positionV relativeFrom="paragraph">
              <wp:posOffset>-953770</wp:posOffset>
            </wp:positionV>
            <wp:extent cx="7624445" cy="10785475"/>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uv.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24445" cy="10785475"/>
                    </a:xfrm>
                    <a:prstGeom prst="rect">
                      <a:avLst/>
                    </a:prstGeom>
                  </pic:spPr>
                </pic:pic>
              </a:graphicData>
            </a:graphic>
            <wp14:sizeRelH relativeFrom="margin">
              <wp14:pctWidth>0</wp14:pctWidth>
            </wp14:sizeRelH>
            <wp14:sizeRelV relativeFrom="margin">
              <wp14:pctHeight>0</wp14:pctHeight>
            </wp14:sizeRelV>
          </wp:anchor>
        </w:drawing>
      </w:r>
    </w:p>
    <w:p w:rsidR="00AE08D9" w:rsidRDefault="00AE08D9" w:rsidP="007347D6">
      <w:pPr>
        <w:autoSpaceDE w:val="0"/>
        <w:autoSpaceDN w:val="0"/>
        <w:adjustRightInd w:val="0"/>
        <w:spacing w:after="0" w:line="240" w:lineRule="auto"/>
        <w:jc w:val="both"/>
        <w:rPr>
          <w:rFonts w:ascii="ITCAvantGardeStd-Demi" w:hAnsi="ITCAvantGardeStd-Demi" w:cs="ITCAvantGardeStd-Demi"/>
          <w:color w:val="4D6273"/>
          <w:sz w:val="96"/>
          <w:szCs w:val="96"/>
        </w:rPr>
      </w:pPr>
    </w:p>
    <w:p w:rsidR="00AE08D9" w:rsidRDefault="00AE08D9" w:rsidP="007347D6">
      <w:pPr>
        <w:autoSpaceDE w:val="0"/>
        <w:autoSpaceDN w:val="0"/>
        <w:adjustRightInd w:val="0"/>
        <w:spacing w:after="0" w:line="240" w:lineRule="auto"/>
        <w:jc w:val="both"/>
        <w:rPr>
          <w:rFonts w:ascii="ITCAvantGardeStd-Demi" w:hAnsi="ITCAvantGardeStd-Demi" w:cs="ITCAvantGardeStd-Demi"/>
          <w:color w:val="4D6273"/>
          <w:sz w:val="96"/>
          <w:szCs w:val="96"/>
        </w:rPr>
      </w:pPr>
    </w:p>
    <w:p w:rsidR="00AE08D9" w:rsidRDefault="00AE08D9" w:rsidP="007347D6">
      <w:pPr>
        <w:autoSpaceDE w:val="0"/>
        <w:autoSpaceDN w:val="0"/>
        <w:adjustRightInd w:val="0"/>
        <w:spacing w:after="0" w:line="240" w:lineRule="auto"/>
        <w:jc w:val="both"/>
        <w:rPr>
          <w:rFonts w:ascii="ITCAvantGardeStd-Demi" w:hAnsi="ITCAvantGardeStd-Demi" w:cs="ITCAvantGardeStd-Demi"/>
          <w:color w:val="4D6273"/>
          <w:sz w:val="96"/>
          <w:szCs w:val="96"/>
        </w:rPr>
      </w:pPr>
    </w:p>
    <w:p w:rsidR="007347D6" w:rsidRDefault="007347D6" w:rsidP="00AE08D9">
      <w:pPr>
        <w:autoSpaceDE w:val="0"/>
        <w:autoSpaceDN w:val="0"/>
        <w:adjustRightInd w:val="0"/>
        <w:spacing w:after="0" w:line="240" w:lineRule="auto"/>
        <w:rPr>
          <w:rFonts w:ascii="ITCAvantGardeStd-Demi" w:hAnsi="ITCAvantGardeStd-Demi" w:cs="ITCAvantGardeStd-Demi"/>
          <w:color w:val="4D6273"/>
          <w:sz w:val="96"/>
          <w:szCs w:val="96"/>
        </w:rPr>
      </w:pPr>
      <w:r>
        <w:rPr>
          <w:rFonts w:ascii="ITCAvantGardeStd-Demi" w:hAnsi="ITCAvantGardeStd-Demi" w:cs="ITCAvantGardeStd-Demi"/>
          <w:color w:val="4D6273"/>
          <w:sz w:val="96"/>
          <w:szCs w:val="96"/>
        </w:rPr>
        <w:t>Appel à candidature Point d’Apport Volontaire</w:t>
      </w:r>
      <w:r w:rsidR="00AE08D9">
        <w:rPr>
          <w:rFonts w:ascii="ITCAvantGardeStd-Demi" w:hAnsi="ITCAvantGardeStd-Demi" w:cs="ITCAvantGardeStd-Demi"/>
          <w:color w:val="4D6273"/>
          <w:sz w:val="96"/>
          <w:szCs w:val="96"/>
        </w:rPr>
        <w:t xml:space="preserve"> </w:t>
      </w:r>
      <w:r w:rsidR="00E11820">
        <w:rPr>
          <w:rFonts w:ascii="ITCAvantGardeStd-Demi" w:hAnsi="ITCAvantGardeStd-Demi" w:cs="ITCAvantGardeStd-Demi"/>
          <w:color w:val="4D6273"/>
          <w:sz w:val="96"/>
          <w:szCs w:val="96"/>
        </w:rPr>
        <w:t>2015</w:t>
      </w: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48"/>
          <w:szCs w:val="48"/>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48"/>
          <w:szCs w:val="48"/>
        </w:rPr>
      </w:pPr>
      <w:r>
        <w:rPr>
          <w:rFonts w:ascii="ITCAvantGardeStd-Bk" w:hAnsi="ITCAvantGardeStd-Bk" w:cs="ITCAvantGardeStd-Bk"/>
          <w:color w:val="4D6273"/>
          <w:sz w:val="48"/>
          <w:szCs w:val="48"/>
        </w:rPr>
        <w:t xml:space="preserve">La réponse est à rendre pour le </w:t>
      </w:r>
      <w:r w:rsidR="00E42261">
        <w:rPr>
          <w:rFonts w:ascii="ITCAvantGardeStd-Bk" w:hAnsi="ITCAvantGardeStd-Bk" w:cs="ITCAvantGardeStd-Bk"/>
          <w:color w:val="4D6273"/>
          <w:sz w:val="48"/>
          <w:szCs w:val="48"/>
        </w:rPr>
        <w:t xml:space="preserve">20 Avril 2015 </w:t>
      </w:r>
      <w:r>
        <w:rPr>
          <w:rFonts w:ascii="ITCAvantGardeStd-Bk" w:hAnsi="ITCAvantGardeStd-Bk" w:cs="ITCAvantGardeStd-Bk"/>
          <w:color w:val="4D6273"/>
          <w:sz w:val="48"/>
          <w:szCs w:val="48"/>
        </w:rPr>
        <w:t>à 12h00.</w:t>
      </w: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48"/>
          <w:szCs w:val="48"/>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24"/>
          <w:szCs w:val="24"/>
        </w:rPr>
      </w:pPr>
      <w:r>
        <w:rPr>
          <w:rFonts w:ascii="ITCAvantGardeStd-Bk" w:hAnsi="ITCAvantGardeStd-Bk" w:cs="ITCAvantGardeStd-Bk"/>
          <w:color w:val="4D6273"/>
          <w:sz w:val="24"/>
          <w:szCs w:val="24"/>
        </w:rPr>
        <w:t>Contacts :</w:t>
      </w:r>
    </w:p>
    <w:p w:rsidR="00E42261" w:rsidRDefault="00E42261" w:rsidP="00E42261">
      <w:pPr>
        <w:autoSpaceDE w:val="0"/>
        <w:autoSpaceDN w:val="0"/>
        <w:adjustRightInd w:val="0"/>
        <w:spacing w:after="0" w:line="240" w:lineRule="auto"/>
        <w:jc w:val="both"/>
        <w:rPr>
          <w:rFonts w:ascii="ITCAvantGardeStd-Bk" w:hAnsi="ITCAvantGardeStd-Bk" w:cs="ITCAvantGardeStd-Bk"/>
          <w:color w:val="4D6273"/>
          <w:sz w:val="24"/>
          <w:szCs w:val="24"/>
        </w:rPr>
      </w:pPr>
      <w:r>
        <w:rPr>
          <w:rFonts w:ascii="ITCAvantGardeStd-Bk" w:hAnsi="ITCAvantGardeStd-Bk" w:cs="ITCAvantGardeStd-Bk"/>
          <w:color w:val="4D6273"/>
          <w:sz w:val="24"/>
          <w:szCs w:val="24"/>
        </w:rPr>
        <w:t>Nathalie Breton ou Florence de Mengin Fondragon</w:t>
      </w:r>
    </w:p>
    <w:p w:rsidR="007347D6" w:rsidRDefault="006B6B30" w:rsidP="007347D6">
      <w:pPr>
        <w:autoSpaceDE w:val="0"/>
        <w:autoSpaceDN w:val="0"/>
        <w:adjustRightInd w:val="0"/>
        <w:spacing w:after="0" w:line="240" w:lineRule="auto"/>
        <w:jc w:val="both"/>
        <w:rPr>
          <w:rFonts w:ascii="ITCAvantGardeStd-Bk" w:hAnsi="ITCAvantGardeStd-Bk" w:cs="ITCAvantGardeStd-Bk"/>
          <w:color w:val="90A3A5"/>
          <w:sz w:val="48"/>
          <w:szCs w:val="48"/>
        </w:rPr>
      </w:pPr>
      <w:hyperlink r:id="rId10" w:history="1">
        <w:r w:rsidR="007347D6" w:rsidRPr="000E6B76">
          <w:rPr>
            <w:rStyle w:val="Lienhypertexte"/>
            <w:rFonts w:ascii="ITCAvantGardeStd-Bk" w:hAnsi="ITCAvantGardeStd-Bk" w:cs="ITCAvantGardeStd-Bk"/>
            <w:sz w:val="24"/>
            <w:szCs w:val="24"/>
          </w:rPr>
          <w:t>appeloffres@valdelia.org</w:t>
        </w:r>
      </w:hyperlink>
      <w:r w:rsidR="007347D6">
        <w:rPr>
          <w:rFonts w:ascii="ITCAvantGardeStd-Bk" w:hAnsi="ITCAvantGardeStd-Bk" w:cs="ITCAvantGardeStd-Bk"/>
          <w:color w:val="5C7BBD"/>
          <w:sz w:val="24"/>
          <w:szCs w:val="24"/>
        </w:rPr>
        <w:t> </w:t>
      </w:r>
    </w:p>
    <w:p w:rsidR="00CA650E" w:rsidRDefault="00CA650E" w:rsidP="007347D6">
      <w:pPr>
        <w:autoSpaceDE w:val="0"/>
        <w:autoSpaceDN w:val="0"/>
        <w:adjustRightInd w:val="0"/>
        <w:spacing w:after="0" w:line="240" w:lineRule="auto"/>
        <w:jc w:val="both"/>
        <w:rPr>
          <w:rFonts w:ascii="ITCAvantGardeStd-Bk" w:hAnsi="ITCAvantGardeStd-Bk" w:cs="ITCAvantGardeStd-Bk"/>
          <w:color w:val="90A3A5"/>
          <w:sz w:val="48"/>
          <w:szCs w:val="48"/>
        </w:rPr>
        <w:sectPr w:rsidR="00CA650E">
          <w:footerReference w:type="default" r:id="rId11"/>
          <w:pgSz w:w="11906" w:h="16838"/>
          <w:pgMar w:top="1417" w:right="1417" w:bottom="1417" w:left="1417" w:header="708" w:footer="708" w:gutter="0"/>
          <w:cols w:space="708"/>
          <w:docGrid w:linePitch="360"/>
        </w:sectPr>
      </w:pPr>
    </w:p>
    <w:p w:rsidR="009F615F" w:rsidRPr="00A928DD" w:rsidRDefault="009F615F" w:rsidP="009F615F">
      <w:pPr>
        <w:autoSpaceDE w:val="0"/>
        <w:autoSpaceDN w:val="0"/>
        <w:adjustRightInd w:val="0"/>
        <w:spacing w:after="0" w:line="240" w:lineRule="auto"/>
        <w:jc w:val="both"/>
        <w:rPr>
          <w:rFonts w:ascii="Century Gothic" w:hAnsi="Century Gothic" w:cs="ITCAvantGardeStd-Demi"/>
          <w:color w:val="4D6273"/>
          <w:sz w:val="48"/>
          <w:szCs w:val="48"/>
        </w:rPr>
      </w:pPr>
      <w:r>
        <w:rPr>
          <w:rFonts w:ascii="Century Gothic" w:hAnsi="Century Gothic" w:cs="ITCAvantGardeStd-Demi"/>
          <w:color w:val="4D6273"/>
          <w:sz w:val="48"/>
          <w:szCs w:val="48"/>
        </w:rPr>
        <w:lastRenderedPageBreak/>
        <w:t>1</w:t>
      </w:r>
      <w:r w:rsidRPr="00A928DD">
        <w:rPr>
          <w:rFonts w:ascii="Century Gothic" w:hAnsi="Century Gothic" w:cs="ITCAvantGardeStd-Demi"/>
          <w:color w:val="4D6273"/>
          <w:sz w:val="48"/>
          <w:szCs w:val="48"/>
        </w:rPr>
        <w:t xml:space="preserve">. </w:t>
      </w:r>
      <w:r>
        <w:rPr>
          <w:rFonts w:ascii="Century Gothic" w:hAnsi="Century Gothic" w:cs="ITCAvantGardeStd-Demi"/>
          <w:color w:val="4D6273"/>
          <w:sz w:val="48"/>
          <w:szCs w:val="48"/>
        </w:rPr>
        <w:t>Valdelia</w:t>
      </w:r>
    </w:p>
    <w:p w:rsidR="007347D6" w:rsidRPr="00FE49A1"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FE49A1">
        <w:rPr>
          <w:rFonts w:ascii="ITCAvantGardeStd-Bk" w:hAnsi="ITCAvantGardeStd-Bk" w:cs="ITCAvantGardeStd-Bk"/>
          <w:color w:val="90A3A5"/>
          <w:sz w:val="44"/>
          <w:szCs w:val="44"/>
        </w:rPr>
        <w:t>1.1 À propos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est un éco-organisme à but non lucratif agréé par le ministère de l’Écologie, du Développement Durable et de l’Énergie, en charge d’organiser la filière de recyclage du mobilier professionnel en fin de vie.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Créé par des industriels du secteur en réponse à la règlementation du Grenelle 2 de 2010, et plus particulièrement au décret du 6 janvier 2012 relatif à la gestion des déchets d’éléments d’ameublement (DEA) professionnels, Valdelia assure pour le compte de ses adhérents la prise en charge de la collecte et du traitement des DEA </w:t>
      </w:r>
      <w:r w:rsidR="0097610B">
        <w:rPr>
          <w:rFonts w:ascii="ITCAvantGardeStd-Bk" w:hAnsi="ITCAvantGardeStd-Bk" w:cs="ITCAvantGardeStd-Bk"/>
          <w:color w:val="585757"/>
          <w:sz w:val="20"/>
          <w:szCs w:val="20"/>
        </w:rPr>
        <w:t>professionnels</w:t>
      </w:r>
      <w:r>
        <w:rPr>
          <w:rFonts w:ascii="ITCAvantGardeStd-Bk" w:hAnsi="ITCAvantGardeStd-Bk" w:cs="ITCAvantGardeStd-Bk"/>
          <w:color w:val="585757"/>
          <w:sz w:val="20"/>
          <w:szCs w:val="20"/>
        </w:rPr>
        <w:t xml:space="preserve"> sur l’ensemble du territoire national.</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Financé depuis le 1</w:t>
      </w:r>
      <w:r>
        <w:rPr>
          <w:rFonts w:ascii="ITCAvantGardeStd-Bk" w:hAnsi="ITCAvantGardeStd-Bk" w:cs="ITCAvantGardeStd-Bk"/>
          <w:color w:val="585757"/>
          <w:sz w:val="12"/>
          <w:szCs w:val="12"/>
        </w:rPr>
        <w:t xml:space="preserve">er </w:t>
      </w:r>
      <w:r>
        <w:rPr>
          <w:rFonts w:ascii="ITCAvantGardeStd-Bk" w:hAnsi="ITCAvantGardeStd-Bk" w:cs="ITCAvantGardeStd-Bk"/>
          <w:color w:val="585757"/>
          <w:sz w:val="20"/>
          <w:szCs w:val="20"/>
        </w:rPr>
        <w:t>mai 2013 par une éco-contribution affichée sur le prix de vente de tout mobilier professionnel neuf, Valdelia propose une solution globale aux entreprises (TPE, PME, industrie) et collectivités (scolaire, santé, loisir, culture, hôpitaux, commercial), ainsi qu’aux hôtels, cafés ou restaurants.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Cette nouvelle filière de valorisation </w:t>
      </w:r>
      <w:proofErr w:type="spellStart"/>
      <w:r>
        <w:rPr>
          <w:rFonts w:ascii="ITCAvantGardeStd-Bk" w:hAnsi="ITCAvantGardeStd-Bk" w:cs="ITCAvantGardeStd-Bk"/>
          <w:color w:val="585757"/>
          <w:sz w:val="20"/>
          <w:szCs w:val="20"/>
        </w:rPr>
        <w:t>BtoB</w:t>
      </w:r>
      <w:proofErr w:type="spellEnd"/>
      <w:r>
        <w:rPr>
          <w:rFonts w:ascii="ITCAvantGardeStd-Bk" w:hAnsi="ITCAvantGardeStd-Bk" w:cs="ITCAvantGardeStd-Bk"/>
          <w:color w:val="585757"/>
          <w:sz w:val="20"/>
          <w:szCs w:val="20"/>
        </w:rPr>
        <w:t xml:space="preserve"> du mobilier professionnel en fin de vie a pour ambition de répondre aux objectifs ambitieux fixés par les pouvoirs publics, à savoir : atteindre un taux de réutilisation et recyclage de 75 % à l’horizon 2017.</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Valdelia en 2013 c’est : 5 821 tonnes de DEA </w:t>
      </w:r>
      <w:r w:rsidR="0097610B">
        <w:rPr>
          <w:rFonts w:ascii="ITCAvantGardeStd-Bk" w:hAnsi="ITCAvantGardeStd-Bk" w:cs="ITCAvantGardeStd-Bk"/>
          <w:color w:val="585757"/>
          <w:sz w:val="20"/>
          <w:szCs w:val="20"/>
        </w:rPr>
        <w:t>professionnels</w:t>
      </w:r>
      <w:r>
        <w:rPr>
          <w:rFonts w:ascii="ITCAvantGardeStd-Bk" w:hAnsi="ITCAvantGardeStd-Bk" w:cs="ITCAvantGardeStd-Bk"/>
          <w:color w:val="585757"/>
          <w:sz w:val="20"/>
          <w:szCs w:val="20"/>
        </w:rPr>
        <w:t xml:space="preserve"> collectées, 360 chantiers, 400 points de collecte et 1 268 metteurs sur le marché adhérents (fabricants, distributeurs, importateurs).</w:t>
      </w:r>
    </w:p>
    <w:p w:rsidR="00D43837" w:rsidRDefault="00D43837"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FE49A1"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FE49A1">
        <w:rPr>
          <w:rFonts w:ascii="ITCAvantGardeStd-Bk" w:hAnsi="ITCAvantGardeStd-Bk" w:cs="ITCAvantGardeStd-Bk"/>
          <w:color w:val="90A3A5"/>
          <w:sz w:val="44"/>
          <w:szCs w:val="44"/>
        </w:rPr>
        <w:t>1.2 Organisation interne de Valdelia</w:t>
      </w: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p>
    <w:p w:rsidR="007347D6" w:rsidRDefault="007347D6" w:rsidP="007347D6">
      <w:pPr>
        <w:autoSpaceDE w:val="0"/>
        <w:autoSpaceDN w:val="0"/>
        <w:adjustRightInd w:val="0"/>
        <w:spacing w:after="0" w:line="240" w:lineRule="auto"/>
        <w:jc w:val="both"/>
        <w:rPr>
          <w:rFonts w:ascii="Fengardo" w:hAnsi="Fengardo" w:cs="Fengardo"/>
          <w:color w:val="FFFFFF"/>
          <w:sz w:val="18"/>
          <w:szCs w:val="18"/>
        </w:rPr>
      </w:pPr>
      <w:proofErr w:type="spellStart"/>
      <w:r>
        <w:rPr>
          <w:rFonts w:ascii="Fengardo" w:hAnsi="Fengardo" w:cs="Fengardo"/>
          <w:color w:val="FFFFFF"/>
          <w:sz w:val="18"/>
          <w:szCs w:val="18"/>
        </w:rPr>
        <w:t>Commu</w:t>
      </w:r>
      <w:proofErr w:type="spellEnd"/>
      <w:r w:rsidR="00E42261">
        <w:rPr>
          <w:noProof/>
          <w:lang w:eastAsia="fr-FR"/>
        </w:rPr>
        <w:drawing>
          <wp:inline distT="0" distB="0" distL="0" distR="0" wp14:anchorId="36B119B5" wp14:editId="4333F51E">
            <wp:extent cx="4267200" cy="3212805"/>
            <wp:effectExtent l="0" t="0" r="0" b="698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613" t="11961" r="25164" b="22124"/>
                    <a:stretch/>
                  </pic:blipFill>
                  <pic:spPr bwMode="auto">
                    <a:xfrm>
                      <a:off x="0" y="0"/>
                      <a:ext cx="4273699" cy="3217699"/>
                    </a:xfrm>
                    <a:prstGeom prst="rect">
                      <a:avLst/>
                    </a:prstGeom>
                    <a:ln>
                      <a:noFill/>
                    </a:ln>
                    <a:extLst>
                      <a:ext uri="{53640926-AAD7-44D8-BBD7-CCE9431645EC}">
                        <a14:shadowObscured xmlns:a14="http://schemas.microsoft.com/office/drawing/2010/main"/>
                      </a:ext>
                    </a:extLst>
                  </pic:spPr>
                </pic:pic>
              </a:graphicData>
            </a:graphic>
          </wp:inline>
        </w:drawing>
      </w:r>
      <w:proofErr w:type="spellStart"/>
      <w:r>
        <w:rPr>
          <w:rFonts w:ascii="Fengardo" w:hAnsi="Fengardo" w:cs="Fengardo"/>
          <w:color w:val="FFFFFF"/>
          <w:sz w:val="18"/>
          <w:szCs w:val="18"/>
        </w:rPr>
        <w:t>nication</w:t>
      </w:r>
      <w:proofErr w:type="spellEnd"/>
      <w:r>
        <w:rPr>
          <w:rFonts w:ascii="Fengardo" w:hAnsi="Fengardo" w:cs="Fengardo"/>
          <w:color w:val="FFFFFF"/>
          <w:sz w:val="18"/>
          <w:szCs w:val="18"/>
        </w:rPr>
        <w:t xml:space="preserve"> Finance et juridique</w:t>
      </w:r>
    </w:p>
    <w:p w:rsidR="007347D6" w:rsidRDefault="007347D6" w:rsidP="007347D6">
      <w:pPr>
        <w:autoSpaceDE w:val="0"/>
        <w:autoSpaceDN w:val="0"/>
        <w:adjustRightInd w:val="0"/>
        <w:spacing w:after="0" w:line="240" w:lineRule="auto"/>
        <w:jc w:val="both"/>
        <w:rPr>
          <w:rFonts w:ascii="Fengardo" w:hAnsi="Fengardo" w:cs="Fengardo"/>
          <w:color w:val="FFFFFF"/>
          <w:sz w:val="18"/>
          <w:szCs w:val="18"/>
        </w:rPr>
      </w:pPr>
      <w:r>
        <w:rPr>
          <w:rFonts w:ascii="Fengardo" w:hAnsi="Fengardo" w:cs="Fengardo"/>
          <w:color w:val="FFFFFF"/>
          <w:sz w:val="18"/>
          <w:szCs w:val="18"/>
        </w:rPr>
        <w:t>Conseil d’administration</w:t>
      </w:r>
    </w:p>
    <w:p w:rsidR="00E42261" w:rsidRPr="00E42261" w:rsidRDefault="007C3E20" w:rsidP="00E42261">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Dans le but d’avoir une meilleure implication et visibilité sur le </w:t>
      </w:r>
      <w:r w:rsidR="003A789E">
        <w:rPr>
          <w:rFonts w:ascii="ITCAvantGardeStd-Bk" w:hAnsi="ITCAvantGardeStd-Bk" w:cs="ITCAvantGardeStd-Bk"/>
          <w:color w:val="585757"/>
          <w:sz w:val="20"/>
          <w:szCs w:val="20"/>
        </w:rPr>
        <w:t>département de la Guyane</w:t>
      </w:r>
      <w:r>
        <w:rPr>
          <w:rFonts w:ascii="ITCAvantGardeStd-Bk" w:hAnsi="ITCAvantGardeStd-Bk" w:cs="ITCAvantGardeStd-Bk"/>
          <w:color w:val="585757"/>
          <w:sz w:val="20"/>
          <w:szCs w:val="20"/>
        </w:rPr>
        <w:t xml:space="preserve">, Valdelia fait appel à un facilitateur. </w:t>
      </w:r>
      <w:r w:rsidR="00E42261" w:rsidRPr="00E42261">
        <w:rPr>
          <w:rFonts w:ascii="ITCAvantGardeStd-Bk" w:hAnsi="ITCAvantGardeStd-Bk" w:cs="ITCAvantGardeStd-Bk"/>
          <w:color w:val="585757"/>
          <w:sz w:val="20"/>
          <w:szCs w:val="20"/>
        </w:rPr>
        <w:t>Interlocuteur local et représentant local de Valdelia sur le terrain, le facilitateur Valdelia prépare, organise et coordonne les opérations de collecte de déchets d’éléments d’ameublement chez les détenteurs professionnels. Il prend part également au suivi des prestations et de leur qualité en réalisant des visites d’échange avec les prestataires de collecte et de traitement. Il réalise le suivi des opérations en lien avec l’ESS.</w:t>
      </w:r>
    </w:p>
    <w:p w:rsidR="00E42261" w:rsidRPr="00E42261" w:rsidRDefault="00E42261" w:rsidP="00E42261">
      <w:pPr>
        <w:autoSpaceDE w:val="0"/>
        <w:autoSpaceDN w:val="0"/>
        <w:adjustRightInd w:val="0"/>
        <w:spacing w:after="0" w:line="240" w:lineRule="auto"/>
        <w:jc w:val="both"/>
        <w:rPr>
          <w:rFonts w:ascii="ITCAvantGardeStd-Bk" w:hAnsi="ITCAvantGardeStd-Bk" w:cs="ITCAvantGardeStd-Bk"/>
          <w:color w:val="585757"/>
          <w:sz w:val="20"/>
          <w:szCs w:val="20"/>
        </w:rPr>
      </w:pPr>
    </w:p>
    <w:p w:rsidR="00E42261" w:rsidRPr="00E42261" w:rsidRDefault="00E42261" w:rsidP="00E42261">
      <w:pPr>
        <w:autoSpaceDE w:val="0"/>
        <w:autoSpaceDN w:val="0"/>
        <w:adjustRightInd w:val="0"/>
        <w:spacing w:after="0" w:line="240" w:lineRule="auto"/>
        <w:jc w:val="both"/>
        <w:rPr>
          <w:rFonts w:ascii="ITCAvantGardeStd-Bk" w:hAnsi="ITCAvantGardeStd-Bk" w:cs="ITCAvantGardeStd-Bk"/>
          <w:color w:val="585757"/>
          <w:sz w:val="20"/>
          <w:szCs w:val="20"/>
        </w:rPr>
      </w:pPr>
      <w:r w:rsidRPr="00E42261">
        <w:rPr>
          <w:rFonts w:ascii="ITCAvantGardeStd-Bk" w:hAnsi="ITCAvantGardeStd-Bk" w:cs="ITCAvantGardeStd-Bk"/>
          <w:color w:val="585757"/>
          <w:sz w:val="20"/>
          <w:szCs w:val="20"/>
        </w:rPr>
        <w:t>Par ailleurs, il est le relais de Valdelia auprès des metteurs sur le marché mais aussi des institutionnels locaux.</w:t>
      </w:r>
    </w:p>
    <w:p w:rsidR="007347D6" w:rsidRPr="00AE08D9" w:rsidRDefault="007347D6" w:rsidP="00AE08D9">
      <w:pPr>
        <w:autoSpaceDE w:val="0"/>
        <w:autoSpaceDN w:val="0"/>
        <w:adjustRightInd w:val="0"/>
        <w:spacing w:after="0" w:line="240" w:lineRule="auto"/>
        <w:jc w:val="both"/>
        <w:rPr>
          <w:rFonts w:ascii="ITCAvantGardeStd-Bk" w:hAnsi="ITCAvantGardeStd-Bk" w:cs="ITCAvantGardeStd-Bk"/>
          <w:color w:val="90A3A5"/>
          <w:sz w:val="44"/>
          <w:szCs w:val="44"/>
        </w:rPr>
      </w:pPr>
      <w:r w:rsidRPr="00AE08D9">
        <w:rPr>
          <w:rFonts w:ascii="ITCAvantGardeStd-Bk" w:hAnsi="ITCAvantGardeStd-Bk" w:cs="ITCAvantGardeStd-Bk"/>
          <w:color w:val="90A3A5"/>
          <w:sz w:val="44"/>
          <w:szCs w:val="44"/>
        </w:rPr>
        <w:lastRenderedPageBreak/>
        <w:t>1.3 Responsabilité</w:t>
      </w:r>
      <w:r w:rsidR="00AE08D9">
        <w:rPr>
          <w:rFonts w:ascii="ITCAvantGardeStd-Bk" w:hAnsi="ITCAvantGardeStd-Bk" w:cs="ITCAvantGardeStd-Bk"/>
          <w:color w:val="90A3A5"/>
          <w:sz w:val="44"/>
          <w:szCs w:val="44"/>
        </w:rPr>
        <w:t xml:space="preserve"> Sociétale des Entreprises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Conscient des enjeux sociétaux liés à l’économie circulaire et aux filières REP</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(Responsabilité Élargie du Producteur), Valdelia s’est lancé, en 2014, dans une démarche de Responsabilité Sociétale des Entreprises (RSE). L’objectif pour Valdelia est de mesurer, maitriser et assumer les impacts de ses décisions et activités sur la société et sur l’environnement, se traduisant par un comportement éthique et transparent qui : </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Contribue au développement durable, y compris à la santé et au bien-être de la société,</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Prend en compte les attentes des parties prenantes,</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Respecte les lois en vigueur tout en étant en cohérence avec les normes internationales de comportement,</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Est intégré dans l’ensemble de l’organisation et mis en œuvre dans ses relations.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répondre à un besoin d’informations et limiter ses impacts environnementaux, Valdelia travaillera notamment, au cours de la période concernée, à la mise en place d’un bilan CO</w:t>
      </w:r>
      <w:r>
        <w:rPr>
          <w:rFonts w:ascii="ITCAvantGardeStd-Bk" w:hAnsi="ITCAvantGardeStd-Bk" w:cs="ITCAvantGardeStd-Bk"/>
          <w:color w:val="585757"/>
          <w:sz w:val="12"/>
          <w:szCs w:val="12"/>
        </w:rPr>
        <w:t>2</w:t>
      </w:r>
      <w:r>
        <w:rPr>
          <w:rFonts w:ascii="ITCAvantGardeStd-Bk" w:hAnsi="ITCAvantGardeStd-Bk" w:cs="ITCAvantGardeStd-Bk"/>
          <w:color w:val="585757"/>
          <w:sz w:val="20"/>
          <w:szCs w:val="20"/>
        </w:rPr>
        <w:t>, et d’une analyse du cycle de vie de la filière.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Conformément à l’article L1431-3 du code des transports du 24 février 2011, le transporteur devra informer Valdelia des émissions de CO2 pour chaque opération de collecte ou de transport.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prestataires seront sollicités pour mettre en place les évolutions demandées par Valdelia au fur et à mesure.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s’engage également à placer la satisfaction des détenteurs au centre de ses préoccupations ; le service proposé sera continuellement évalué en vue de son amélioration continue.</w:t>
      </w:r>
    </w:p>
    <w:p w:rsidR="007347D6" w:rsidRPr="00AE08D9" w:rsidRDefault="007347D6" w:rsidP="007347D6">
      <w:pPr>
        <w:autoSpaceDE w:val="0"/>
        <w:autoSpaceDN w:val="0"/>
        <w:adjustRightInd w:val="0"/>
        <w:spacing w:after="0" w:line="240" w:lineRule="auto"/>
        <w:jc w:val="both"/>
        <w:rPr>
          <w:rFonts w:ascii="ITCAvantGardeStd-Demi" w:hAnsi="ITCAvantGardeStd-Demi" w:cs="ITCAvantGardeStd-Demi"/>
          <w:color w:val="4D6273"/>
          <w:sz w:val="40"/>
          <w:szCs w:val="40"/>
        </w:rPr>
      </w:pP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2. Périmètre des prestations</w:t>
      </w:r>
    </w:p>
    <w:p w:rsidR="007347D6" w:rsidRPr="00031710" w:rsidRDefault="007347D6" w:rsidP="007347D6">
      <w:pPr>
        <w:autoSpaceDE w:val="0"/>
        <w:autoSpaceDN w:val="0"/>
        <w:adjustRightInd w:val="0"/>
        <w:spacing w:after="0" w:line="240" w:lineRule="auto"/>
        <w:jc w:val="both"/>
        <w:rPr>
          <w:rFonts w:ascii="ITCAvantGardeStd-Demi" w:hAnsi="ITCAvantGardeStd-Demi" w:cs="ITCAvantGardeStd-Demi"/>
          <w:color w:val="000000"/>
          <w:sz w:val="24"/>
          <w:szCs w:val="24"/>
        </w:rPr>
      </w:pPr>
    </w:p>
    <w:p w:rsidR="007347D6" w:rsidRPr="00AE08D9"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AE08D9">
        <w:rPr>
          <w:rFonts w:ascii="ITCAvantGardeStd-Bk" w:hAnsi="ITCAvantGardeStd-Bk" w:cs="ITCAvantGardeStd-Bk"/>
          <w:color w:val="90A3A5"/>
          <w:sz w:val="44"/>
          <w:szCs w:val="44"/>
        </w:rPr>
        <w:t>2.1 Objet de la consultation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306FFD" w:rsidRDefault="007347D6" w:rsidP="007347D6">
      <w:pPr>
        <w:pStyle w:val="TM1"/>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Le service a pour objet :</w:t>
      </w:r>
    </w:p>
    <w:p w:rsidR="007347D6" w:rsidRPr="00306FFD"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La mise à disposition de surfaces normalisées et adaptées pour  le stockage des DEA professionnels issus des détenteurs professionnels dont le gisement est inférieur à 2,4 tonnes ou inférieur à 20m3, en conservant au maximum leur intégrité,</w:t>
      </w:r>
    </w:p>
    <w:p w:rsidR="007347D6" w:rsidRPr="00306FFD"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L’accueil des détenteurs professionnels lors de l’apport des DEA professionnels,</w:t>
      </w:r>
    </w:p>
    <w:p w:rsidR="007347D6" w:rsidRPr="00306FFD"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Le déclenchement de l’enlèvement des DEA p</w:t>
      </w:r>
      <w:r w:rsidR="00701BA1">
        <w:rPr>
          <w:rFonts w:ascii="ITCAvantGardeStd-Bk" w:eastAsiaTheme="minorHAnsi" w:hAnsi="ITCAvantGardeStd-Bk" w:cs="ITCAvantGardeStd-Bk"/>
          <w:color w:val="585757"/>
          <w:kern w:val="0"/>
          <w:sz w:val="20"/>
          <w:szCs w:val="20"/>
          <w:lang w:eastAsia="en-US"/>
        </w:rPr>
        <w:t xml:space="preserve">rofessionnels vers un centre </w:t>
      </w:r>
      <w:r w:rsidRPr="00306FFD">
        <w:rPr>
          <w:rFonts w:ascii="ITCAvantGardeStd-Bk" w:eastAsiaTheme="minorHAnsi" w:hAnsi="ITCAvantGardeStd-Bk" w:cs="ITCAvantGardeStd-Bk"/>
          <w:color w:val="585757"/>
          <w:kern w:val="0"/>
          <w:sz w:val="20"/>
          <w:szCs w:val="20"/>
          <w:lang w:eastAsia="en-US"/>
        </w:rPr>
        <w:t>de traitement,</w:t>
      </w:r>
    </w:p>
    <w:p w:rsidR="007347D6"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La traçabilité complète des DEA professionnels.</w:t>
      </w:r>
    </w:p>
    <w:p w:rsidR="007347D6" w:rsidRPr="00306FFD"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La diffusion des outils de communication qui seront mis à disposition par Valdelia.</w:t>
      </w:r>
    </w:p>
    <w:p w:rsidR="007347D6" w:rsidRDefault="007347D6" w:rsidP="007347D6">
      <w:pPr>
        <w:pStyle w:val="TM1"/>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Le candidat peut proposer tout service, toute prestation ou technique complémentaire permettant de facilité l’atteinte des objectifs de Valdelia. Le candidat doit être force de proposition.</w:t>
      </w:r>
    </w:p>
    <w:p w:rsidR="007347D6" w:rsidRDefault="007347D6" w:rsidP="007347D6">
      <w:pPr>
        <w:pStyle w:val="TM1"/>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 xml:space="preserve">Les Points d’Apport Volontaire retenus pourront être des structures de l’Economie Sociale et Solidaire (ESS)  ou bien des entreprises de l’économie classique. </w:t>
      </w:r>
    </w:p>
    <w:p w:rsidR="007347D6" w:rsidRPr="00306FFD" w:rsidRDefault="007347D6" w:rsidP="007347D6">
      <w:pPr>
        <w:pStyle w:val="TM1"/>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Pour les PAV, hors partenaires de l’ESS et à leur demande, Valdelia pourra activer une zone ESS. Cette zone aura pour objectif de mettre à disposition de nos partenaires de l’ESS qui ne sont pas PAV du mobilier réutilisable. L’activation de cette zone a pour objet :</w:t>
      </w:r>
    </w:p>
    <w:p w:rsidR="007347D6" w:rsidRPr="00306FFD"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La mise à disposition d’une surface normalisée pour des entreprises de l’Economie Sociale et Solidaire (ESS),</w:t>
      </w:r>
    </w:p>
    <w:p w:rsidR="007347D6"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sidRPr="00306FFD">
        <w:rPr>
          <w:rFonts w:ascii="ITCAvantGardeStd-Bk" w:eastAsiaTheme="minorHAnsi" w:hAnsi="ITCAvantGardeStd-Bk" w:cs="ITCAvantGardeStd-Bk"/>
          <w:color w:val="585757"/>
          <w:kern w:val="0"/>
          <w:sz w:val="20"/>
          <w:szCs w:val="20"/>
          <w:lang w:eastAsia="en-US"/>
        </w:rPr>
        <w:t>L’accueil des ESS lors des opérations de piquage,</w:t>
      </w:r>
    </w:p>
    <w:p w:rsidR="007347D6" w:rsidRDefault="007347D6" w:rsidP="00AE08D9">
      <w:pPr>
        <w:pStyle w:val="TM1"/>
        <w:numPr>
          <w:ilvl w:val="0"/>
          <w:numId w:val="8"/>
        </w:numPr>
        <w:spacing w:after="0"/>
        <w:ind w:hanging="357"/>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lastRenderedPageBreak/>
        <w:t>La traçabilité relative aux unités ayant fait l’objet d’un prélèvement.</w:t>
      </w:r>
    </w:p>
    <w:p w:rsidR="007347D6" w:rsidRPr="00306FFD" w:rsidRDefault="007347D6" w:rsidP="007347D6">
      <w:pPr>
        <w:pStyle w:val="TM1"/>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Les Points d’Apport Volontaire qui seront également partenaires ESS n’auront pas de zone ESS active mais pourront prélever le mobilier réutilisable entrant sur le PAV et leur donner une seconde vie dans leur magasin. Ces prélèvements devront être suivis.</w:t>
      </w:r>
    </w:p>
    <w:p w:rsidR="007347D6" w:rsidRPr="00AE08D9"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AE08D9">
        <w:rPr>
          <w:rFonts w:ascii="ITCAvantGardeStd-Bk" w:hAnsi="ITCAvantGardeStd-Bk" w:cs="ITCAvantGardeStd-Bk"/>
          <w:color w:val="90A3A5"/>
          <w:sz w:val="44"/>
          <w:szCs w:val="44"/>
        </w:rPr>
        <w:t>2.2 Périmètre de la consultation</w:t>
      </w:r>
    </w:p>
    <w:p w:rsidR="007347D6" w:rsidRDefault="007347D6" w:rsidP="00D43837">
      <w:pPr>
        <w:pStyle w:val="TM1"/>
        <w:rPr>
          <w:rFonts w:ascii="ITCAvantGardeStd-Bk" w:hAnsi="ITCAvantGardeStd-Bk" w:cs="ITCAvantGardeStd-Bk"/>
          <w:color w:val="585757"/>
          <w:sz w:val="20"/>
          <w:szCs w:val="20"/>
        </w:rPr>
      </w:pPr>
      <w:r>
        <w:rPr>
          <w:rFonts w:ascii="ITCAvantGardeStd-Bk" w:eastAsiaTheme="minorHAnsi" w:hAnsi="ITCAvantGardeStd-Bk" w:cs="ITCAvantGardeStd-Bk"/>
          <w:color w:val="585757"/>
          <w:kern w:val="0"/>
          <w:sz w:val="20"/>
          <w:szCs w:val="20"/>
          <w:lang w:eastAsia="en-US"/>
        </w:rPr>
        <w:t xml:space="preserve">Le présent Appel à Candidature aura pour objectif </w:t>
      </w:r>
      <w:r w:rsidR="00062966">
        <w:rPr>
          <w:rFonts w:ascii="ITCAvantGardeStd-Bk" w:eastAsiaTheme="minorHAnsi" w:hAnsi="ITCAvantGardeStd-Bk" w:cs="ITCAvantGardeStd-Bk"/>
          <w:color w:val="585757"/>
          <w:kern w:val="0"/>
          <w:sz w:val="20"/>
          <w:szCs w:val="20"/>
          <w:lang w:eastAsia="en-US"/>
        </w:rPr>
        <w:t xml:space="preserve">d’ouvrir quatre Points d’Apport Volontaire sur </w:t>
      </w:r>
      <w:r w:rsidR="003A789E">
        <w:rPr>
          <w:rFonts w:ascii="ITCAvantGardeStd-Bk" w:eastAsiaTheme="minorHAnsi" w:hAnsi="ITCAvantGardeStd-Bk" w:cs="ITCAvantGardeStd-Bk"/>
          <w:color w:val="585757"/>
          <w:kern w:val="0"/>
          <w:sz w:val="20"/>
          <w:szCs w:val="20"/>
          <w:lang w:eastAsia="en-US"/>
        </w:rPr>
        <w:t>le département de la Guyane</w:t>
      </w:r>
      <w:r>
        <w:rPr>
          <w:rFonts w:ascii="ITCAvantGardeStd-Bk" w:eastAsiaTheme="minorHAnsi" w:hAnsi="ITCAvantGardeStd-Bk" w:cs="ITCAvantGardeStd-Bk"/>
          <w:color w:val="585757"/>
          <w:kern w:val="0"/>
          <w:sz w:val="20"/>
          <w:szCs w:val="20"/>
          <w:lang w:eastAsia="en-US"/>
        </w:rPr>
        <w:t>.</w:t>
      </w:r>
      <w:r w:rsidR="00062966">
        <w:rPr>
          <w:rFonts w:ascii="ITCAvantGardeStd-Bk" w:eastAsiaTheme="minorHAnsi" w:hAnsi="ITCAvantGardeStd-Bk" w:cs="ITCAvantGardeStd-Bk"/>
          <w:color w:val="585757"/>
          <w:kern w:val="0"/>
          <w:sz w:val="20"/>
          <w:szCs w:val="20"/>
          <w:lang w:eastAsia="en-US"/>
        </w:rPr>
        <w:t xml:space="preserve"> Les zones ciblées sont les suivantes :</w:t>
      </w:r>
    </w:p>
    <w:tbl>
      <w:tblPr>
        <w:tblW w:w="2873" w:type="dxa"/>
        <w:jc w:val="center"/>
        <w:tblCellMar>
          <w:left w:w="70" w:type="dxa"/>
          <w:right w:w="70" w:type="dxa"/>
        </w:tblCellMar>
        <w:tblLook w:val="04A0" w:firstRow="1" w:lastRow="0" w:firstColumn="1" w:lastColumn="0" w:noHBand="0" w:noVBand="1"/>
      </w:tblPr>
      <w:tblGrid>
        <w:gridCol w:w="364"/>
        <w:gridCol w:w="2509"/>
      </w:tblGrid>
      <w:tr w:rsidR="00E34FF2" w:rsidRPr="009264CF" w:rsidTr="003A789E">
        <w:trPr>
          <w:trHeight w:val="300"/>
          <w:jc w:val="center"/>
        </w:trPr>
        <w:tc>
          <w:tcPr>
            <w:tcW w:w="3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4FF2" w:rsidRPr="00002B20" w:rsidRDefault="00E34FF2" w:rsidP="00F304FC">
            <w:pPr>
              <w:spacing w:after="0" w:line="240" w:lineRule="auto"/>
              <w:jc w:val="right"/>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1</w:t>
            </w:r>
          </w:p>
        </w:tc>
        <w:tc>
          <w:tcPr>
            <w:tcW w:w="2509" w:type="dxa"/>
            <w:tcBorders>
              <w:top w:val="single" w:sz="4" w:space="0" w:color="auto"/>
              <w:left w:val="nil"/>
              <w:bottom w:val="single" w:sz="4" w:space="0" w:color="auto"/>
              <w:right w:val="single" w:sz="4" w:space="0" w:color="auto"/>
            </w:tcBorders>
            <w:shd w:val="clear" w:color="auto" w:fill="auto"/>
            <w:noWrap/>
            <w:vAlign w:val="center"/>
            <w:hideMark/>
          </w:tcPr>
          <w:p w:rsidR="00E34FF2" w:rsidRPr="00002B20" w:rsidRDefault="003A789E" w:rsidP="00F304FC">
            <w:pPr>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Cayenne</w:t>
            </w:r>
          </w:p>
        </w:tc>
      </w:tr>
      <w:tr w:rsidR="00E34FF2" w:rsidRPr="009264CF" w:rsidTr="003A789E">
        <w:trPr>
          <w:trHeight w:val="300"/>
          <w:jc w:val="center"/>
        </w:trPr>
        <w:tc>
          <w:tcPr>
            <w:tcW w:w="364" w:type="dxa"/>
            <w:tcBorders>
              <w:top w:val="nil"/>
              <w:left w:val="single" w:sz="4" w:space="0" w:color="auto"/>
              <w:bottom w:val="single" w:sz="4" w:space="0" w:color="auto"/>
              <w:right w:val="single" w:sz="4" w:space="0" w:color="auto"/>
            </w:tcBorders>
            <w:shd w:val="clear" w:color="auto" w:fill="auto"/>
            <w:noWrap/>
            <w:vAlign w:val="bottom"/>
            <w:hideMark/>
          </w:tcPr>
          <w:p w:rsidR="00E34FF2" w:rsidRPr="00002B20" w:rsidRDefault="00E34FF2" w:rsidP="00F304FC">
            <w:pPr>
              <w:spacing w:after="0" w:line="240" w:lineRule="auto"/>
              <w:jc w:val="right"/>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2</w:t>
            </w:r>
          </w:p>
        </w:tc>
        <w:tc>
          <w:tcPr>
            <w:tcW w:w="2509" w:type="dxa"/>
            <w:tcBorders>
              <w:top w:val="nil"/>
              <w:left w:val="nil"/>
              <w:bottom w:val="single" w:sz="4" w:space="0" w:color="auto"/>
              <w:right w:val="single" w:sz="4" w:space="0" w:color="auto"/>
            </w:tcBorders>
            <w:shd w:val="clear" w:color="auto" w:fill="auto"/>
            <w:noWrap/>
            <w:vAlign w:val="center"/>
            <w:hideMark/>
          </w:tcPr>
          <w:p w:rsidR="00E34FF2" w:rsidRPr="00002B20" w:rsidRDefault="003A789E" w:rsidP="00062966">
            <w:pPr>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Kourou</w:t>
            </w:r>
          </w:p>
        </w:tc>
      </w:tr>
      <w:tr w:rsidR="00E34FF2" w:rsidRPr="009264CF" w:rsidTr="003A789E">
        <w:trPr>
          <w:trHeight w:val="300"/>
          <w:jc w:val="center"/>
        </w:trPr>
        <w:tc>
          <w:tcPr>
            <w:tcW w:w="364" w:type="dxa"/>
            <w:tcBorders>
              <w:top w:val="nil"/>
              <w:left w:val="single" w:sz="4" w:space="0" w:color="auto"/>
              <w:bottom w:val="single" w:sz="4" w:space="0" w:color="auto"/>
              <w:right w:val="single" w:sz="4" w:space="0" w:color="auto"/>
            </w:tcBorders>
            <w:shd w:val="clear" w:color="auto" w:fill="auto"/>
            <w:noWrap/>
            <w:vAlign w:val="bottom"/>
            <w:hideMark/>
          </w:tcPr>
          <w:p w:rsidR="00E34FF2" w:rsidRPr="00002B20" w:rsidRDefault="00E34FF2" w:rsidP="00F304FC">
            <w:pPr>
              <w:spacing w:after="0" w:line="240" w:lineRule="auto"/>
              <w:jc w:val="right"/>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3</w:t>
            </w:r>
          </w:p>
        </w:tc>
        <w:tc>
          <w:tcPr>
            <w:tcW w:w="2509" w:type="dxa"/>
            <w:tcBorders>
              <w:top w:val="nil"/>
              <w:left w:val="nil"/>
              <w:bottom w:val="single" w:sz="4" w:space="0" w:color="auto"/>
              <w:right w:val="single" w:sz="4" w:space="0" w:color="auto"/>
            </w:tcBorders>
            <w:shd w:val="clear" w:color="auto" w:fill="auto"/>
            <w:noWrap/>
            <w:vAlign w:val="center"/>
            <w:hideMark/>
          </w:tcPr>
          <w:p w:rsidR="00E34FF2" w:rsidRPr="00002B20" w:rsidRDefault="003A789E" w:rsidP="00F304FC">
            <w:pPr>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Saint-Laurent du Maroni</w:t>
            </w:r>
          </w:p>
        </w:tc>
      </w:tr>
    </w:tbl>
    <w:p w:rsidR="00002B20" w:rsidRDefault="00002B20" w:rsidP="007347D6">
      <w:pPr>
        <w:pStyle w:val="TM1"/>
        <w:rPr>
          <w:rFonts w:ascii="ITCAvantGardeStd-Bk" w:eastAsiaTheme="minorHAnsi" w:hAnsi="ITCAvantGardeStd-Bk" w:cs="ITCAvantGardeStd-Bk"/>
          <w:color w:val="585757"/>
          <w:kern w:val="0"/>
          <w:sz w:val="20"/>
          <w:szCs w:val="20"/>
          <w:lang w:eastAsia="en-US"/>
        </w:rPr>
      </w:pPr>
    </w:p>
    <w:p w:rsidR="00D43837" w:rsidRDefault="00D43837" w:rsidP="007347D6">
      <w:pPr>
        <w:pStyle w:val="TM1"/>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 xml:space="preserve">Les candidatures pourront portées sur d’autres bassins d’emploi et feront l’objet d’une analyse. </w:t>
      </w:r>
    </w:p>
    <w:p w:rsidR="007347D6" w:rsidRPr="003060D0" w:rsidRDefault="007347D6" w:rsidP="007347D6">
      <w:pPr>
        <w:pStyle w:val="TM1"/>
        <w:rPr>
          <w:rFonts w:ascii="ITCAvantGardeStd-Bk" w:hAnsi="ITCAvantGardeStd-Bk" w:cs="ITCAvantGardeStd-Bk"/>
          <w:color w:val="585757"/>
          <w:sz w:val="20"/>
          <w:szCs w:val="20"/>
        </w:rPr>
      </w:pPr>
      <w:r>
        <w:rPr>
          <w:rFonts w:ascii="ITCAvantGardeStd-Bk" w:eastAsiaTheme="minorHAnsi" w:hAnsi="ITCAvantGardeStd-Bk" w:cs="ITCAvantGardeStd-Bk"/>
          <w:color w:val="585757"/>
          <w:kern w:val="0"/>
          <w:sz w:val="20"/>
          <w:szCs w:val="20"/>
          <w:lang w:eastAsia="en-US"/>
        </w:rPr>
        <w:t>Toutes les réponses apportées à cet appel à candidature seront conservées en vue d’une ouverture potentielle de nouveaux PAV sur des zones non couv</w:t>
      </w:r>
      <w:r w:rsidR="00D43837">
        <w:rPr>
          <w:rFonts w:ascii="ITCAvantGardeStd-Bk" w:eastAsiaTheme="minorHAnsi" w:hAnsi="ITCAvantGardeStd-Bk" w:cs="ITCAvantGardeStd-Bk"/>
          <w:color w:val="585757"/>
          <w:kern w:val="0"/>
          <w:sz w:val="20"/>
          <w:szCs w:val="20"/>
          <w:lang w:eastAsia="en-US"/>
        </w:rPr>
        <w:t>ertes lors de la première phase.</w:t>
      </w:r>
    </w:p>
    <w:p w:rsidR="00002B20" w:rsidRPr="007F7919" w:rsidRDefault="00002B20"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AE08D9"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AE08D9">
        <w:rPr>
          <w:rFonts w:ascii="ITCAvantGardeStd-Bk" w:hAnsi="ITCAvantGardeStd-Bk" w:cs="ITCAvantGardeStd-Bk"/>
          <w:color w:val="90A3A5"/>
          <w:sz w:val="44"/>
          <w:szCs w:val="44"/>
        </w:rPr>
        <w:t>2.3 Descriptif succinct de la filière</w:t>
      </w:r>
    </w:p>
    <w:p w:rsidR="007347D6" w:rsidRPr="005548C3"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592453" w:rsidRDefault="00592453" w:rsidP="00592453">
      <w:pPr>
        <w:autoSpaceDE w:val="0"/>
        <w:autoSpaceDN w:val="0"/>
        <w:adjustRightInd w:val="0"/>
        <w:spacing w:after="0" w:line="240" w:lineRule="auto"/>
        <w:jc w:val="both"/>
        <w:rPr>
          <w:rFonts w:ascii="ITCAvantGardeStd-Bold" w:hAnsi="ITCAvantGardeStd-Bold" w:cs="ITCAvantGardeStd-Bold"/>
          <w:b/>
          <w:bCs/>
          <w:color w:val="1B8D30"/>
          <w:sz w:val="14"/>
          <w:szCs w:val="14"/>
        </w:rPr>
      </w:pPr>
      <w:r>
        <w:rPr>
          <w:noProof/>
          <w:lang w:eastAsia="fr-FR"/>
        </w:rPr>
        <mc:AlternateContent>
          <mc:Choice Requires="wps">
            <w:drawing>
              <wp:anchor distT="0" distB="0" distL="114300" distR="114300" simplePos="0" relativeHeight="251659264" behindDoc="0" locked="0" layoutInCell="1" allowOverlap="1" wp14:anchorId="4065E52E" wp14:editId="2015D9AC">
                <wp:simplePos x="0" y="0"/>
                <wp:positionH relativeFrom="column">
                  <wp:posOffset>3776980</wp:posOffset>
                </wp:positionH>
                <wp:positionV relativeFrom="paragraph">
                  <wp:posOffset>-155575</wp:posOffset>
                </wp:positionV>
                <wp:extent cx="438150" cy="428625"/>
                <wp:effectExtent l="57150" t="38100" r="57150" b="85725"/>
                <wp:wrapNone/>
                <wp:docPr id="3" name="Étoile à 7 branches 3"/>
                <wp:cNvGraphicFramePr/>
                <a:graphic xmlns:a="http://schemas.openxmlformats.org/drawingml/2006/main">
                  <a:graphicData uri="http://schemas.microsoft.com/office/word/2010/wordprocessingShape">
                    <wps:wsp>
                      <wps:cNvSpPr/>
                      <wps:spPr>
                        <a:xfrm>
                          <a:off x="0" y="0"/>
                          <a:ext cx="438150" cy="428625"/>
                        </a:xfrm>
                        <a:prstGeom prst="star7">
                          <a:avLst/>
                        </a:prstGeom>
                        <a:solidFill>
                          <a:srgbClr val="FFC000"/>
                        </a:solidFill>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Étoile à 7 branches 3" o:spid="_x0000_s1026" style="position:absolute;margin-left:297.4pt;margin-top:-12.25pt;width:34.5pt;height:33.7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438150,428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" path="m-1,275652l67470,190757,43390,84895r108215,l219075,r67470,84895l394760,84895,370680,190757r67471,84895l340652,322765,316572,428627,219075,381514r-97497,47113l97498,322765,-1,275652xe" fillcolor="#ffc000" stroked="f">
                <v:shadow on="t" color="black" opacity="41287f" offset="0,1.5pt"/>
                <v:path arrowok="t" o:connecttype="custom" o:connectlocs="-1,275652;67470,190757;43390,84895;151605,84895;219075,0;286545,84895;394760,84895;370680,190757;438151,275652;340652,322765;316572,428627;219075,381514;121578,428627;97498,322765;-1,275652" o:connectangles="0,0,0,0,0,0,0,0,0,0,0,0,0,0,0"/>
              </v:shape>
            </w:pict>
          </mc:Fallback>
        </mc:AlternateContent>
      </w:r>
      <w:r>
        <w:rPr>
          <w:noProof/>
          <w:lang w:eastAsia="fr-FR"/>
        </w:rPr>
        <w:drawing>
          <wp:inline distT="0" distB="0" distL="0" distR="0" wp14:anchorId="014C6BA9" wp14:editId="6BCAF381">
            <wp:extent cx="5760720" cy="4280424"/>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4280424"/>
                    </a:xfrm>
                    <a:prstGeom prst="rect">
                      <a:avLst/>
                    </a:prstGeom>
                  </pic:spPr>
                </pic:pic>
              </a:graphicData>
            </a:graphic>
          </wp:inline>
        </w:drawing>
      </w:r>
    </w:p>
    <w:p w:rsidR="00592453" w:rsidRDefault="00AE08D9" w:rsidP="00592453">
      <w:pPr>
        <w:autoSpaceDE w:val="0"/>
        <w:autoSpaceDN w:val="0"/>
        <w:adjustRightInd w:val="0"/>
        <w:spacing w:after="0" w:line="240" w:lineRule="auto"/>
        <w:jc w:val="both"/>
        <w:rPr>
          <w:rFonts w:ascii="ITCAvantGardeStd-Bk" w:hAnsi="ITCAvantGardeStd-Bk" w:cs="ITCAvantGardeStd-Bk"/>
          <w:color w:val="4D6273"/>
          <w:sz w:val="20"/>
          <w:szCs w:val="20"/>
        </w:rPr>
      </w:pPr>
      <w:r>
        <w:rPr>
          <w:noProof/>
          <w:lang w:eastAsia="fr-FR"/>
        </w:rPr>
        <mc:AlternateContent>
          <mc:Choice Requires="wps">
            <w:drawing>
              <wp:anchor distT="0" distB="0" distL="114300" distR="114300" simplePos="0" relativeHeight="251662336" behindDoc="0" locked="0" layoutInCell="1" allowOverlap="1" wp14:anchorId="070BBF8B" wp14:editId="68BFF097">
                <wp:simplePos x="0" y="0"/>
                <wp:positionH relativeFrom="column">
                  <wp:posOffset>1261110</wp:posOffset>
                </wp:positionH>
                <wp:positionV relativeFrom="paragraph">
                  <wp:posOffset>-635</wp:posOffset>
                </wp:positionV>
                <wp:extent cx="2714625" cy="570230"/>
                <wp:effectExtent l="0" t="0" r="28575" b="20320"/>
                <wp:wrapNone/>
                <wp:docPr id="7" name="Rectangle 7"/>
                <wp:cNvGraphicFramePr/>
                <a:graphic xmlns:a="http://schemas.openxmlformats.org/drawingml/2006/main">
                  <a:graphicData uri="http://schemas.microsoft.com/office/word/2010/wordprocessingShape">
                    <wps:wsp>
                      <wps:cNvSpPr/>
                      <wps:spPr>
                        <a:xfrm>
                          <a:off x="0" y="0"/>
                          <a:ext cx="2714625" cy="570230"/>
                        </a:xfrm>
                        <a:prstGeom prst="rect">
                          <a:avLst/>
                        </a:prstGeom>
                        <a:noFill/>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7" o:spid="_x0000_s1026" style="position:absolute;margin-left:99.3pt;margin-top:-.05pt;width:213.75pt;height:44.9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" filled="f" strokecolor="#70ad47 [3209]" strokeweight=".5pt"/>
            </w:pict>
          </mc:Fallback>
        </mc:AlternateContent>
      </w:r>
      <w:r w:rsidR="00592453">
        <w:rPr>
          <w:noProof/>
          <w:lang w:eastAsia="fr-FR"/>
        </w:rPr>
        <mc:AlternateContent>
          <mc:Choice Requires="wps">
            <w:drawing>
              <wp:anchor distT="0" distB="0" distL="114300" distR="114300" simplePos="0" relativeHeight="251661312" behindDoc="0" locked="0" layoutInCell="1" allowOverlap="1" wp14:anchorId="60E4A985" wp14:editId="3F483ADE">
                <wp:simplePos x="0" y="0"/>
                <wp:positionH relativeFrom="column">
                  <wp:posOffset>1424305</wp:posOffset>
                </wp:positionH>
                <wp:positionV relativeFrom="paragraph">
                  <wp:posOffset>15875</wp:posOffset>
                </wp:positionV>
                <wp:extent cx="438150" cy="428625"/>
                <wp:effectExtent l="57150" t="38100" r="57150" b="85725"/>
                <wp:wrapNone/>
                <wp:docPr id="6" name="Étoile à 7 branches 6"/>
                <wp:cNvGraphicFramePr/>
                <a:graphic xmlns:a="http://schemas.openxmlformats.org/drawingml/2006/main">
                  <a:graphicData uri="http://schemas.microsoft.com/office/word/2010/wordprocessingShape">
                    <wps:wsp>
                      <wps:cNvSpPr/>
                      <wps:spPr>
                        <a:xfrm>
                          <a:off x="0" y="0"/>
                          <a:ext cx="438150" cy="428625"/>
                        </a:xfrm>
                        <a:prstGeom prst="star7">
                          <a:avLst/>
                        </a:prstGeom>
                        <a:solidFill>
                          <a:srgbClr val="FFC000"/>
                        </a:solidFill>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18A17355" id="Étoile à 7 branches 6" o:spid="_x0000_s1026" style="position:absolute;margin-left:112.15pt;margin-top:1.25pt;width:34.5pt;height:33.7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438150,428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" path="m-1,275652l67470,190757,43390,84895r108215,l219075,r67470,84895l394760,84895,370680,190757r67471,84895l340652,322765,316572,428627,219075,381514r-97497,47113l97498,322765,-1,275652xe" fillcolor="#ffc000" stroked="f">
                <v:shadow on="t" color="black" opacity="41287f" offset="0,1.5pt"/>
                <v:path arrowok="t" o:connecttype="custom" o:connectlocs="-1,275652;67470,190757;43390,84895;151605,84895;219075,0;286545,84895;394760,84895;370680,190757;438151,275652;340652,322765;316572,428627;219075,381514;121578,428627;97498,322765;-1,275652" o:connectangles="0,0,0,0,0,0,0,0,0,0,0,0,0,0,0"/>
              </v:shape>
            </w:pict>
          </mc:Fallback>
        </mc:AlternateContent>
      </w:r>
    </w:p>
    <w:p w:rsidR="00592453" w:rsidRDefault="00592453" w:rsidP="00592453">
      <w:pPr>
        <w:autoSpaceDE w:val="0"/>
        <w:autoSpaceDN w:val="0"/>
        <w:adjustRightInd w:val="0"/>
        <w:spacing w:after="0" w:line="240" w:lineRule="auto"/>
        <w:jc w:val="center"/>
        <w:rPr>
          <w:rFonts w:ascii="ITCAvantGardeStd-Bk" w:hAnsi="ITCAvantGardeStd-Bk" w:cs="ITCAvantGardeStd-Bk"/>
          <w:color w:val="4D6273"/>
          <w:sz w:val="20"/>
          <w:szCs w:val="20"/>
        </w:rPr>
      </w:pPr>
      <w:r>
        <w:rPr>
          <w:rFonts w:ascii="ITCAvantGardeStd-Bk" w:hAnsi="ITCAvantGardeStd-Bk" w:cs="ITCAvantGardeStd-Bk"/>
          <w:color w:val="4D6273"/>
          <w:sz w:val="20"/>
          <w:szCs w:val="20"/>
        </w:rPr>
        <w:t>Objet du présent appel d’offres</w:t>
      </w:r>
    </w:p>
    <w:p w:rsidR="00592453" w:rsidRDefault="00592453" w:rsidP="00592453">
      <w:pPr>
        <w:autoSpaceDE w:val="0"/>
        <w:autoSpaceDN w:val="0"/>
        <w:adjustRightInd w:val="0"/>
        <w:spacing w:after="0" w:line="240" w:lineRule="auto"/>
        <w:jc w:val="both"/>
        <w:rPr>
          <w:rFonts w:ascii="ITCAvantGardeStd-Bk" w:hAnsi="ITCAvantGardeStd-Bk" w:cs="ITCAvantGardeStd-Bk"/>
          <w:color w:val="4D6273"/>
          <w:sz w:val="20"/>
          <w:szCs w:val="20"/>
        </w:rPr>
      </w:pPr>
    </w:p>
    <w:p w:rsidR="00592453" w:rsidRDefault="00592453" w:rsidP="00592453">
      <w:pPr>
        <w:autoSpaceDE w:val="0"/>
        <w:autoSpaceDN w:val="0"/>
        <w:adjustRightInd w:val="0"/>
        <w:spacing w:after="0" w:line="240" w:lineRule="auto"/>
        <w:jc w:val="both"/>
        <w:rPr>
          <w:rFonts w:ascii="ITCAvantGardeStd-Bk" w:hAnsi="ITCAvantGardeStd-Bk" w:cs="ITCAvantGardeStd-Bk"/>
          <w:color w:val="4D6273"/>
          <w:sz w:val="20"/>
          <w:szCs w:val="20"/>
        </w:rPr>
      </w:pPr>
    </w:p>
    <w:p w:rsidR="00002B20" w:rsidRDefault="00002B20" w:rsidP="00592453">
      <w:pPr>
        <w:autoSpaceDE w:val="0"/>
        <w:autoSpaceDN w:val="0"/>
        <w:adjustRightInd w:val="0"/>
        <w:spacing w:after="0" w:line="240" w:lineRule="auto"/>
        <w:jc w:val="both"/>
        <w:rPr>
          <w:rFonts w:ascii="ITCAvantGardeStd-Bk" w:hAnsi="ITCAvantGardeStd-Bk" w:cs="ITCAvantGardeStd-Bk"/>
          <w:color w:val="4D6273"/>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36"/>
          <w:szCs w:val="36"/>
        </w:rPr>
      </w:pPr>
      <w:r>
        <w:rPr>
          <w:rFonts w:ascii="ITCAvantGardeStd-Bk" w:hAnsi="ITCAvantGardeStd-Bk" w:cs="ITCAvantGardeStd-Bk"/>
          <w:color w:val="4D6273"/>
          <w:sz w:val="36"/>
          <w:szCs w:val="36"/>
        </w:rPr>
        <w:t>2.3.1 Les points de collecte</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Les détenteurs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détenteur de mobilier professionnel est soit une entreprise (usines, supermarchés, restaurants, bureaux, cafés, hôtels, avocats, notaires, etc.) soit une collectivité (écoles, hôpitaux, maisons de retraite, mairies, administrations, restaurants scolaires, 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Sont considérés comme déchets d’éléments d’ameublement professionnels les déchets issus des éléments d’ameublement autres que ceux détenus par les ménages.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Selon le tonnage et le volume de DEA professionnels dont le détenteur veut se défaire, plusieurs schémas de collecte sont mis en place :</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Si le lot de DEA professionnels est inférieur à 2,4 tonnes OU 20 m³, deux possibilités :</w:t>
      </w:r>
    </w:p>
    <w:p w:rsidR="000B44B2" w:rsidRPr="000B44B2" w:rsidRDefault="007347D6" w:rsidP="000B44B2">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0B44B2">
        <w:rPr>
          <w:rFonts w:ascii="ITCAvantGardeStd-Bk" w:hAnsi="ITCAvantGardeStd-Bk" w:cs="ITCAvantGardeStd-Bk"/>
          <w:color w:val="585757"/>
          <w:sz w:val="20"/>
          <w:szCs w:val="20"/>
        </w:rPr>
        <w:t>Le fournisseur de meubles dispose d’une prestation de collecte permettant la remise des déchets de mobilier à Valdelia,</w:t>
      </w:r>
    </w:p>
    <w:p w:rsidR="007347D6" w:rsidRPr="000B44B2" w:rsidRDefault="007347D6" w:rsidP="000B44B2">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0B44B2">
        <w:rPr>
          <w:rFonts w:ascii="ITCAvantGardeStd-Bk" w:hAnsi="ITCAvantGardeStd-Bk" w:cs="ITCAvantGardeStd-Bk"/>
          <w:color w:val="585757"/>
          <w:sz w:val="20"/>
          <w:szCs w:val="20"/>
        </w:rPr>
        <w:t xml:space="preserve">Si ce n’est pas le cas, Valdelia l’oriente, via le site internet </w:t>
      </w:r>
      <w:hyperlink r:id="rId14" w:history="1">
        <w:r w:rsidRPr="000B44B2">
          <w:rPr>
            <w:rStyle w:val="Lienhypertexte"/>
            <w:rFonts w:ascii="ITCAvantGardeStd-Bk" w:hAnsi="ITCAvantGardeStd-Bk" w:cs="ITCAvantGardeStd-Bk"/>
            <w:sz w:val="20"/>
            <w:szCs w:val="20"/>
          </w:rPr>
          <w:t>www.valdelia.org</w:t>
        </w:r>
      </w:hyperlink>
      <w:r w:rsidRPr="000B44B2">
        <w:rPr>
          <w:rFonts w:ascii="ITCAvantGardeStd-Bk" w:hAnsi="ITCAvantGardeStd-Bk" w:cs="ITCAvantGardeStd-Bk"/>
          <w:color w:val="585757"/>
          <w:sz w:val="20"/>
          <w:szCs w:val="20"/>
        </w:rPr>
        <w:t>, vers le Point d’Apport Volontaire (PAV) le plus proche de son entreprise.</w:t>
      </w:r>
    </w:p>
    <w:p w:rsidR="007347D6" w:rsidRPr="000B44B2" w:rsidRDefault="007347D6" w:rsidP="000B44B2">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0B44B2">
        <w:rPr>
          <w:rFonts w:ascii="ITCAvantGardeStd-Bold" w:hAnsi="ITCAvantGardeStd-Bold" w:cs="ITCAvantGardeStd-Bold"/>
          <w:b/>
          <w:bCs/>
          <w:color w:val="585757"/>
          <w:sz w:val="20"/>
          <w:szCs w:val="20"/>
        </w:rPr>
        <w:t xml:space="preserve">Si le lot de DEA professionnels est équivalent ou supérieur à 2,4 tonnes ET 20 m³, </w:t>
      </w:r>
      <w:r w:rsidRPr="000B44B2">
        <w:rPr>
          <w:rFonts w:ascii="ITCAvantGardeStd-Bk" w:hAnsi="ITCAvantGardeStd-Bk" w:cs="ITCAvantGardeStd-Bk"/>
          <w:color w:val="585757"/>
          <w:sz w:val="20"/>
          <w:szCs w:val="20"/>
        </w:rPr>
        <w:t xml:space="preserve">le détenteur devra obligatoirement faire une demande de prise en charge de son gisement sur le site internet de Valdelia </w:t>
      </w:r>
      <w:r w:rsidRPr="000B44B2">
        <w:rPr>
          <w:rFonts w:ascii="ITCAvantGardeStd-Bk" w:hAnsi="ITCAvantGardeStd-Bk" w:cs="ITCAvantGardeStd-Bk"/>
          <w:color w:val="5C7BBD"/>
          <w:sz w:val="20"/>
          <w:szCs w:val="20"/>
        </w:rPr>
        <w:t xml:space="preserve">www.valdelia.org </w:t>
      </w:r>
      <w:r w:rsidRPr="000B44B2">
        <w:rPr>
          <w:rFonts w:ascii="ITCAvantGardeStd-Bk" w:hAnsi="ITCAvantGardeStd-Bk" w:cs="ITCAvantGardeStd-Bk"/>
          <w:color w:val="585757"/>
          <w:sz w:val="20"/>
          <w:szCs w:val="20"/>
        </w:rPr>
        <w:t>:</w:t>
      </w:r>
    </w:p>
    <w:p w:rsidR="007347D6" w:rsidRPr="000B44B2" w:rsidRDefault="007347D6" w:rsidP="000B44B2">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0B44B2">
        <w:rPr>
          <w:rFonts w:ascii="ITCAvantGardeStd-Bk" w:hAnsi="ITCAvantGardeStd-Bk" w:cs="ITCAvantGardeStd-Bk"/>
          <w:color w:val="585757"/>
          <w:sz w:val="20"/>
          <w:szCs w:val="20"/>
        </w:rPr>
        <w:t>Valdelia met gratuitement à disposition un contenant au plus près du site détenteur. Une fois les déchets de meubles entreposés dans ce contenant, Valdelia se charge de les transporter vers le centre de traitement,</w:t>
      </w:r>
    </w:p>
    <w:p w:rsidR="007347D6" w:rsidRPr="000B44B2" w:rsidRDefault="007347D6" w:rsidP="000B44B2">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0B44B2">
        <w:rPr>
          <w:rFonts w:ascii="ITCAvantGardeStd-Bk" w:hAnsi="ITCAvantGardeStd-Bk" w:cs="ITCAvantGardeStd-Bk"/>
          <w:color w:val="585757"/>
          <w:sz w:val="20"/>
          <w:szCs w:val="20"/>
        </w:rPr>
        <w:t>Dans le cas où le détenteur aurait son propre transporteur, cette demande d’apport direct sera renseignée dans le Système d’Information de Valdelia et le centre de traitement recevra directement le dit-transport sur son site.</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Les Points d’Apport Volontaire (PAV)</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Point d’Apport Volontaire est un site qui dispose d’une surface ou d’un contenant permettant à tout détenteur professionnel de remettre des lots de DEA professionnels inférieurs à 20 m</w:t>
      </w:r>
      <w:r>
        <w:rPr>
          <w:rFonts w:ascii="ITCAvantGardeStd-Bk" w:hAnsi="ITCAvantGardeStd-Bk" w:cs="ITCAvantGardeStd-Bk"/>
          <w:color w:val="585757"/>
          <w:sz w:val="12"/>
          <w:szCs w:val="12"/>
        </w:rPr>
        <w:t xml:space="preserve">3 </w:t>
      </w:r>
      <w:r>
        <w:rPr>
          <w:rFonts w:ascii="ITCAvantGardeStd-Bk" w:hAnsi="ITCAvantGardeStd-Bk" w:cs="ITCAvantGardeStd-Bk"/>
          <w:color w:val="585757"/>
          <w:sz w:val="20"/>
          <w:szCs w:val="20"/>
        </w:rPr>
        <w:t>ou 2,4 tonnes. Ce site massifie les DEA professionnels avant leur transport vers un centre de traitement.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L’objectif de Valdelia est d’avoir, fin 2017, un PAV à moins de 50 km de chaque détenteur.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Au </w:t>
      </w:r>
      <w:r w:rsidR="004D6FCB">
        <w:rPr>
          <w:rFonts w:ascii="ITCAvantGardeStd-Bk" w:hAnsi="ITCAvantGardeStd-Bk" w:cs="ITCAvantGardeStd-Bk"/>
          <w:color w:val="585757"/>
          <w:sz w:val="20"/>
          <w:szCs w:val="20"/>
        </w:rPr>
        <w:t>1</w:t>
      </w:r>
      <w:r w:rsidR="004D6FCB" w:rsidRPr="004D6FCB">
        <w:rPr>
          <w:rFonts w:ascii="ITCAvantGardeStd-Bk" w:hAnsi="ITCAvantGardeStd-Bk" w:cs="ITCAvantGardeStd-Bk"/>
          <w:color w:val="585757"/>
          <w:sz w:val="20"/>
          <w:szCs w:val="20"/>
          <w:vertAlign w:val="superscript"/>
        </w:rPr>
        <w:t>er</w:t>
      </w:r>
      <w:r w:rsidR="004D6FCB">
        <w:rPr>
          <w:rFonts w:ascii="ITCAvantGardeStd-Bk" w:hAnsi="ITCAvantGardeStd-Bk" w:cs="ITCAvantGardeStd-Bk"/>
          <w:color w:val="585757"/>
          <w:sz w:val="20"/>
          <w:szCs w:val="20"/>
        </w:rPr>
        <w:t xml:space="preserve"> Janvier 2015</w:t>
      </w:r>
      <w:r>
        <w:rPr>
          <w:rFonts w:ascii="ITCAvantGardeStd-Bk" w:hAnsi="ITCAvantGardeStd-Bk" w:cs="ITCAvantGardeStd-Bk"/>
          <w:color w:val="585757"/>
          <w:sz w:val="20"/>
          <w:szCs w:val="20"/>
        </w:rPr>
        <w:t xml:space="preserve"> Va</w:t>
      </w:r>
      <w:r w:rsidR="004D6FCB">
        <w:rPr>
          <w:rFonts w:ascii="ITCAvantGardeStd-Bk" w:hAnsi="ITCAvantGardeStd-Bk" w:cs="ITCAvantGardeStd-Bk"/>
          <w:color w:val="585757"/>
          <w:sz w:val="20"/>
          <w:szCs w:val="20"/>
        </w:rPr>
        <w:t>ldelia dispose d’un réseau de 49</w:t>
      </w:r>
      <w:r>
        <w:rPr>
          <w:rFonts w:ascii="ITCAvantGardeStd-Bk" w:hAnsi="ITCAvantGardeStd-Bk" w:cs="ITCAvantGardeStd-Bk"/>
          <w:color w:val="585757"/>
          <w:sz w:val="20"/>
          <w:szCs w:val="20"/>
        </w:rPr>
        <w:t xml:space="preserve"> PAV couvrant, ainsi, 73 % de l’activité économique de son périmètre. La carte des PAV actuelle se trouve sur le site internet de Valdelia :</w:t>
      </w:r>
    </w:p>
    <w:p w:rsidR="007347D6" w:rsidRDefault="006B6B30" w:rsidP="007347D6">
      <w:pPr>
        <w:autoSpaceDE w:val="0"/>
        <w:autoSpaceDN w:val="0"/>
        <w:adjustRightInd w:val="0"/>
        <w:spacing w:after="0" w:line="240" w:lineRule="auto"/>
        <w:jc w:val="both"/>
        <w:rPr>
          <w:rFonts w:ascii="ITCAvantGardeStd-Bk" w:hAnsi="ITCAvantGardeStd-Bk" w:cs="ITCAvantGardeStd-Bk"/>
          <w:color w:val="5C7BBD"/>
          <w:sz w:val="20"/>
          <w:szCs w:val="20"/>
        </w:rPr>
      </w:pPr>
      <w:hyperlink r:id="rId15" w:history="1">
        <w:r w:rsidR="007347D6" w:rsidRPr="00CA6B4C">
          <w:rPr>
            <w:rStyle w:val="Lienhypertexte"/>
            <w:rFonts w:ascii="ITCAvantGardeStd-Bk" w:hAnsi="ITCAvantGardeStd-Bk" w:cs="ITCAvantGardeStd-Bk"/>
            <w:sz w:val="20"/>
            <w:szCs w:val="20"/>
          </w:rPr>
          <w:t>www.valdelia.org/les-points-dapports-volontaires-et-les-structures-de-leconomie-socialeet-solidaire</w:t>
        </w:r>
      </w:hyperlink>
    </w:p>
    <w:p w:rsidR="007347D6" w:rsidRDefault="007347D6" w:rsidP="007347D6">
      <w:pPr>
        <w:autoSpaceDE w:val="0"/>
        <w:autoSpaceDN w:val="0"/>
        <w:adjustRightInd w:val="0"/>
        <w:spacing w:after="0" w:line="240" w:lineRule="auto"/>
        <w:jc w:val="both"/>
        <w:rPr>
          <w:rFonts w:ascii="ITCAvantGardeStd-Bk" w:hAnsi="ITCAvantGardeStd-Bk" w:cs="ITCAvantGardeStd-Bk"/>
          <w:color w:val="5C7BBD"/>
          <w:sz w:val="20"/>
          <w:szCs w:val="20"/>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Les Centres de Massification Volontaire (CMV)</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CMV est un site qui récupère le mobilier professionnel usagé ou dégradé dont le détenteur souhaite se séparer. Le CMV massifie ces déchets de meubles et les remet à Valdelia qui gère leur recyclage.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N.B. Le CMV n’accueille pas les détenteurs en direct.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CMV sont installés chez toutes les parties prenantes de la filière (déménageurs, professionnels du déchet, grands détenteurs, etc.) qui en font la demande sous certaines conditions (notamment, un minimum de </w:t>
      </w:r>
      <w:r w:rsidR="000B44B2">
        <w:rPr>
          <w:rFonts w:ascii="ITCAvantGardeStd-Bk" w:hAnsi="ITCAvantGardeStd-Bk" w:cs="ITCAvantGardeStd-Bk"/>
          <w:color w:val="585757"/>
          <w:sz w:val="20"/>
          <w:szCs w:val="20"/>
        </w:rPr>
        <w:t>6</w:t>
      </w:r>
      <w:r>
        <w:rPr>
          <w:rFonts w:ascii="ITCAvantGardeStd-Bk" w:hAnsi="ITCAvantGardeStd-Bk" w:cs="ITCAvantGardeStd-Bk"/>
          <w:color w:val="585757"/>
          <w:sz w:val="20"/>
          <w:szCs w:val="20"/>
        </w:rPr>
        <w:t xml:space="preserve"> évacuations par semestre).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L’objectif est de permettre au CMV de proposer à leurs clients la remise gratuite dans la filière Valdelia du déchet de mobilier en petite quantité (inférieur à 2,4 t ou 20 m</w:t>
      </w:r>
      <w:r>
        <w:rPr>
          <w:rFonts w:ascii="ITCAvantGardeStd-Bk" w:hAnsi="ITCAvantGardeStd-Bk" w:cs="ITCAvantGardeStd-Bk"/>
          <w:color w:val="585757"/>
          <w:sz w:val="12"/>
          <w:szCs w:val="12"/>
        </w:rPr>
        <w:t xml:space="preserve">3 </w:t>
      </w:r>
      <w:r>
        <w:rPr>
          <w:rFonts w:ascii="ITCAvantGardeStd-Bk" w:hAnsi="ITCAvantGardeStd-Bk" w:cs="ITCAvantGardeStd-Bk"/>
          <w:color w:val="585757"/>
          <w:sz w:val="20"/>
          <w:szCs w:val="20"/>
        </w:rPr>
        <w:t>par apport) issu de leur activité professionnelle (retour clients, tri de bennes DIB, mobilier issu de la gestion du parc, etc.). Ce site massifie les DEA professionnels avant leur transport vers un centre de traitement.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nombre de CMV n’est pas limité. Valdelia dispose, à l’heure actuelle, d’environ 80 CMV et estime que le nombre de CMV sera d’environ 300 fin 2017.</w:t>
      </w: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36"/>
          <w:szCs w:val="36"/>
        </w:rPr>
      </w:pPr>
      <w:r>
        <w:rPr>
          <w:rFonts w:ascii="ITCAvantGardeStd-Bk" w:hAnsi="ITCAvantGardeStd-Bk" w:cs="ITCAvantGardeStd-Bk"/>
          <w:color w:val="4D6273"/>
          <w:sz w:val="36"/>
          <w:szCs w:val="36"/>
        </w:rPr>
        <w:t>2.3.2 Les centres de traitement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 sont les centres de destination des flux de DEA professionnels provenant de points de collecte et dans lesquels une ou plusieurs opérations de traitement sont réalisées</w:t>
      </w:r>
      <w:r w:rsidR="00D33DB1">
        <w:rPr>
          <w:rFonts w:ascii="ITCAvantGardeStd-Bk" w:hAnsi="ITCAvantGardeStd-Bk" w:cs="ITCAvantGardeStd-Bk"/>
          <w:color w:val="585757"/>
          <w:sz w:val="20"/>
          <w:szCs w:val="20"/>
        </w:rPr>
        <w:t>, c</w:t>
      </w:r>
      <w:r>
        <w:rPr>
          <w:rFonts w:ascii="ITCAvantGardeStd-Bk" w:hAnsi="ITCAvantGardeStd-Bk" w:cs="ITCAvantGardeStd-Bk"/>
          <w:color w:val="585757"/>
          <w:sz w:val="20"/>
          <w:szCs w:val="20"/>
        </w:rPr>
        <w:t>e qui permet la valorisation et le recyclage des DEA professionnels.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Ces opérations incluent, principalement, la dépollution (dans certains cas), la fragmentation des produits, la création de Matières Premières Secondaires, la valorisation, le recyclage, la destruction et toute autre opération permettant le recyclage et/ou l’élimination des DEA professionnels. Cela comprend également les opérations de traçabilité liées. Le traitement peut s’exercer sur un ou plusieurs sites de manière mécanisée ou manuelle. Dans le cas d’un traitement multi-sites, les opérations de transport entre les sites sont à la charge du site de traitement. Valdelia doit en être informée.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territoire français sera entièrement couvert par des centres de traitement pour :</w:t>
      </w:r>
    </w:p>
    <w:p w:rsidR="007347D6" w:rsidRPr="00D33DB1" w:rsidRDefault="007347D6" w:rsidP="00D33DB1">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D33DB1">
        <w:rPr>
          <w:rFonts w:ascii="ITCAvantGardeStd-Bk" w:hAnsi="ITCAvantGardeStd-Bk" w:cs="ITCAvantGardeStd-Bk"/>
          <w:color w:val="585757"/>
          <w:sz w:val="20"/>
          <w:szCs w:val="20"/>
        </w:rPr>
        <w:t>La famille Assises.</w:t>
      </w:r>
    </w:p>
    <w:p w:rsidR="007347D6" w:rsidRPr="00D33DB1" w:rsidRDefault="007347D6" w:rsidP="00D33DB1">
      <w:pPr>
        <w:pStyle w:val="Paragraphedeliste"/>
        <w:numPr>
          <w:ilvl w:val="0"/>
          <w:numId w:val="27"/>
        </w:numPr>
        <w:autoSpaceDE w:val="0"/>
        <w:autoSpaceDN w:val="0"/>
        <w:adjustRightInd w:val="0"/>
        <w:spacing w:after="0" w:line="240" w:lineRule="auto"/>
        <w:jc w:val="both"/>
        <w:rPr>
          <w:rFonts w:ascii="ITCAvantGardeStd-Bk" w:hAnsi="ITCAvantGardeStd-Bk" w:cs="ITCAvantGardeStd-Bk"/>
          <w:color w:val="585757"/>
          <w:sz w:val="20"/>
          <w:szCs w:val="20"/>
        </w:rPr>
      </w:pPr>
      <w:r w:rsidRPr="00D33DB1">
        <w:rPr>
          <w:rFonts w:ascii="ITCAvantGardeStd-Bk" w:hAnsi="ITCAvantGardeStd-Bk" w:cs="ITCAvantGardeStd-Bk"/>
          <w:color w:val="585757"/>
          <w:sz w:val="20"/>
          <w:szCs w:val="20"/>
        </w:rPr>
        <w:t>Les Non Assises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même site pourra, s’il est retenu pour les deux lots, traiter les Assises et les non Assises.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centres de traitement font l’objet du présent appel d’offres.</w:t>
      </w:r>
    </w:p>
    <w:p w:rsidR="00002B20" w:rsidRDefault="00002B20" w:rsidP="007347D6">
      <w:pPr>
        <w:autoSpaceDE w:val="0"/>
        <w:autoSpaceDN w:val="0"/>
        <w:adjustRightInd w:val="0"/>
        <w:spacing w:after="0" w:line="240" w:lineRule="auto"/>
        <w:jc w:val="both"/>
        <w:rPr>
          <w:rFonts w:ascii="ITCAvantGardeStd-Bk" w:hAnsi="ITCAvantGardeStd-Bk" w:cs="ITCAvantGardeStd-Bk"/>
          <w:color w:val="4D6273"/>
          <w:sz w:val="36"/>
          <w:szCs w:val="36"/>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36"/>
          <w:szCs w:val="36"/>
        </w:rPr>
      </w:pPr>
      <w:r>
        <w:rPr>
          <w:rFonts w:ascii="ITCAvantGardeStd-Bk" w:hAnsi="ITCAvantGardeStd-Bk" w:cs="ITCAvantGardeStd-Bk"/>
          <w:color w:val="4D6273"/>
          <w:sz w:val="36"/>
          <w:szCs w:val="36"/>
        </w:rPr>
        <w:t>2.3.3 La collecte et le transport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DC7148"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w:t>
      </w:r>
      <w:r w:rsidR="007347D6">
        <w:rPr>
          <w:rFonts w:ascii="ITCAvantGardeStd-Bk" w:hAnsi="ITCAvantGardeStd-Bk" w:cs="ITCAvantGardeStd-Bk"/>
          <w:color w:val="585757"/>
          <w:sz w:val="20"/>
          <w:szCs w:val="20"/>
        </w:rPr>
        <w:t xml:space="preserve"> prestataire de collecte </w:t>
      </w:r>
      <w:r>
        <w:rPr>
          <w:rFonts w:ascii="ITCAvantGardeStd-Bk" w:hAnsi="ITCAvantGardeStd-Bk" w:cs="ITCAvantGardeStd-Bk"/>
          <w:color w:val="585757"/>
          <w:sz w:val="20"/>
          <w:szCs w:val="20"/>
        </w:rPr>
        <w:t>a</w:t>
      </w:r>
      <w:r w:rsidR="007347D6">
        <w:rPr>
          <w:rFonts w:ascii="ITCAvantGardeStd-Bk" w:hAnsi="ITCAvantGardeStd-Bk" w:cs="ITCAvantGardeStd-Bk"/>
          <w:color w:val="585757"/>
          <w:sz w:val="20"/>
          <w:szCs w:val="20"/>
        </w:rPr>
        <w:t xml:space="preserve"> pour mission de collecter les DEA professionnels au départ des détenteurs, des PAV et des CMV pour les amener dans le centre de traitement de destination.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prestataires de transport ont pour mission le transport des DEA professionnels triés en famille entre deux centres de traitement.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E43598" w:rsidRDefault="00831791"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Marché de collecte se poursuivra jusqu’en décembre 2017.</w:t>
      </w: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Default="00002B20" w:rsidP="00002B20">
      <w:pPr>
        <w:autoSpaceDE w:val="0"/>
        <w:autoSpaceDN w:val="0"/>
        <w:adjustRightInd w:val="0"/>
        <w:spacing w:after="0" w:line="240" w:lineRule="auto"/>
        <w:jc w:val="both"/>
        <w:rPr>
          <w:rFonts w:ascii="ITCAvantGardeStd-Bk" w:hAnsi="ITCAvantGardeStd-Bk" w:cs="ITCAvantGardeStd-Bk"/>
          <w:color w:val="4D6273"/>
          <w:sz w:val="36"/>
          <w:szCs w:val="36"/>
        </w:rPr>
      </w:pPr>
      <w:r>
        <w:rPr>
          <w:rFonts w:ascii="ITCAvantGardeStd-Bk" w:hAnsi="ITCAvantGardeStd-Bk" w:cs="ITCAvantGardeStd-Bk"/>
          <w:color w:val="4D6273"/>
          <w:sz w:val="36"/>
          <w:szCs w:val="36"/>
        </w:rPr>
        <w:t xml:space="preserve">2.3.4 Organisation envisagée en </w:t>
      </w:r>
      <w:r w:rsidR="003A789E">
        <w:rPr>
          <w:rFonts w:ascii="ITCAvantGardeStd-Bk" w:hAnsi="ITCAvantGardeStd-Bk" w:cs="ITCAvantGardeStd-Bk"/>
          <w:color w:val="4D6273"/>
          <w:sz w:val="36"/>
          <w:szCs w:val="36"/>
        </w:rPr>
        <w:t>Guyane</w:t>
      </w:r>
      <w:r>
        <w:rPr>
          <w:rFonts w:ascii="ITCAvantGardeStd-Bk" w:hAnsi="ITCAvantGardeStd-Bk" w:cs="ITCAvantGardeStd-Bk"/>
          <w:color w:val="4D6273"/>
          <w:sz w:val="36"/>
          <w:szCs w:val="36"/>
        </w:rPr>
        <w:t xml:space="preserve"> </w:t>
      </w: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Default="003A789E" w:rsidP="00002B20">
      <w:pPr>
        <w:autoSpaceDE w:val="0"/>
        <w:autoSpaceDN w:val="0"/>
        <w:adjustRightInd w:val="0"/>
        <w:spacing w:after="0" w:line="240" w:lineRule="auto"/>
        <w:ind w:left="-284"/>
        <w:jc w:val="both"/>
        <w:rPr>
          <w:rFonts w:ascii="ITCAvantGardeStd-Bk" w:hAnsi="ITCAvantGardeStd-Bk" w:cs="ITCAvantGardeStd-Bk"/>
          <w:color w:val="585757"/>
          <w:sz w:val="20"/>
          <w:szCs w:val="20"/>
        </w:rPr>
      </w:pPr>
      <w:r>
        <w:rPr>
          <w:rFonts w:ascii="ITCAvantGardeStd-Bk" w:hAnsi="ITCAvantGardeStd-Bk" w:cs="ITCAvantGardeStd-Bk"/>
          <w:noProof/>
          <w:color w:val="585757"/>
          <w:sz w:val="20"/>
          <w:szCs w:val="20"/>
          <w:lang w:eastAsia="fr-FR"/>
        </w:rPr>
        <w:drawing>
          <wp:inline distT="0" distB="0" distL="0" distR="0" wp14:anchorId="51073189" wp14:editId="1C043B46">
            <wp:extent cx="6245627" cy="4201795"/>
            <wp:effectExtent l="0" t="0" r="3175" b="825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1656" cy="4205851"/>
                    </a:xfrm>
                    <a:prstGeom prst="rect">
                      <a:avLst/>
                    </a:prstGeom>
                    <a:noFill/>
                  </pic:spPr>
                </pic:pic>
              </a:graphicData>
            </a:graphic>
          </wp:inline>
        </w:drawing>
      </w: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Pr="00E43598"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002B20" w:rsidRDefault="00002B20" w:rsidP="00002B20">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sidRPr="007E64CD">
        <w:rPr>
          <w:rFonts w:ascii="ITCAvantGardeStd-Demi" w:hAnsi="ITCAvantGardeStd-Demi" w:cs="ITCAvantGardeStd-Demi"/>
          <w:color w:val="4D6273"/>
          <w:sz w:val="48"/>
          <w:szCs w:val="48"/>
        </w:rPr>
        <w:lastRenderedPageBreak/>
        <w:t xml:space="preserve">3 Informations sur la procédure de remise des </w:t>
      </w:r>
      <w:r w:rsidR="00402C12" w:rsidRPr="007E64CD">
        <w:rPr>
          <w:rFonts w:ascii="ITCAvantGardeStd-Demi" w:hAnsi="ITCAvantGardeStd-Demi" w:cs="ITCAvantGardeStd-Demi"/>
          <w:color w:val="4D6273"/>
          <w:sz w:val="48"/>
          <w:szCs w:val="48"/>
        </w:rPr>
        <w:t>candidatures</w:t>
      </w:r>
      <w:r w:rsidRPr="007E64CD">
        <w:rPr>
          <w:rFonts w:ascii="ITCAvantGardeStd-Demi" w:hAnsi="ITCAvantGardeStd-Demi" w:cs="ITCAvantGardeStd-Demi"/>
          <w:color w:val="4D6273"/>
          <w:sz w:val="48"/>
          <w:szCs w:val="48"/>
        </w:rPr>
        <w:t>.</w:t>
      </w: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3.1 Site internet Valdelia</w:t>
      </w: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585757"/>
          <w:sz w:val="16"/>
          <w:szCs w:val="16"/>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C7BBD"/>
          <w:sz w:val="20"/>
          <w:szCs w:val="20"/>
        </w:rPr>
      </w:pPr>
      <w:r>
        <w:rPr>
          <w:rFonts w:ascii="ITCAvantGardeStd-Bk" w:hAnsi="ITCAvantGardeStd-Bk" w:cs="ITCAvantGardeStd-Bk"/>
          <w:color w:val="585757"/>
          <w:sz w:val="20"/>
          <w:szCs w:val="20"/>
        </w:rPr>
        <w:t xml:space="preserve">Valdelia dispose d’un site internet : </w:t>
      </w:r>
      <w:r>
        <w:rPr>
          <w:rFonts w:ascii="ITCAvantGardeStd-Bk" w:hAnsi="ITCAvantGardeStd-Bk" w:cs="ITCAvantGardeStd-Bk"/>
          <w:color w:val="5C7BBD"/>
          <w:sz w:val="20"/>
          <w:szCs w:val="20"/>
        </w:rPr>
        <w:t xml:space="preserve">www.valdelia.org </w:t>
      </w:r>
      <w:r>
        <w:rPr>
          <w:rFonts w:ascii="ITCAvantGardeStd-Bk" w:hAnsi="ITCAvantGardeStd-Bk" w:cs="ITCAvantGardeStd-Bk"/>
          <w:color w:val="585757"/>
          <w:sz w:val="20"/>
          <w:szCs w:val="20"/>
        </w:rPr>
        <w:t xml:space="preserve">sur lequel un espace est dédié aux appels d’offres / appels à candidature: </w:t>
      </w:r>
      <w:hyperlink r:id="rId17" w:history="1">
        <w:r w:rsidRPr="000948B0">
          <w:rPr>
            <w:rStyle w:val="Lienhypertexte"/>
            <w:rFonts w:ascii="ITCAvantGardeStd-Bk" w:hAnsi="ITCAvantGardeStd-Bk" w:cs="ITCAvantGardeStd-Bk"/>
            <w:sz w:val="20"/>
            <w:szCs w:val="20"/>
          </w:rPr>
          <w:t>http://www.valdelia.org/les-appels-doffres</w:t>
        </w:r>
      </w:hyperlink>
    </w:p>
    <w:p w:rsidR="007347D6" w:rsidRDefault="007347D6" w:rsidP="007347D6">
      <w:pPr>
        <w:autoSpaceDE w:val="0"/>
        <w:autoSpaceDN w:val="0"/>
        <w:adjustRightInd w:val="0"/>
        <w:spacing w:after="0" w:line="240" w:lineRule="auto"/>
        <w:jc w:val="both"/>
        <w:rPr>
          <w:rFonts w:ascii="ITCAvantGardeStd-Bk" w:hAnsi="ITCAvantGardeStd-Bk" w:cs="ITCAvantGardeStd-Bk"/>
          <w:color w:val="5C7BBD"/>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Seront ainsi consultables et téléchargeables par tous :</w:t>
      </w:r>
    </w:p>
    <w:p w:rsidR="007347D6" w:rsidRPr="00002B20" w:rsidRDefault="007347D6" w:rsidP="00002B20">
      <w:pPr>
        <w:pStyle w:val="Paragraphedeliste"/>
        <w:numPr>
          <w:ilvl w:val="0"/>
          <w:numId w:val="29"/>
        </w:numPr>
        <w:autoSpaceDE w:val="0"/>
        <w:autoSpaceDN w:val="0"/>
        <w:adjustRightInd w:val="0"/>
        <w:spacing w:after="0" w:line="240" w:lineRule="auto"/>
        <w:jc w:val="both"/>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Le dossier de l’appel à candidature.</w:t>
      </w:r>
    </w:p>
    <w:p w:rsidR="007347D6" w:rsidRPr="00002B20" w:rsidRDefault="00836503" w:rsidP="00002B20">
      <w:pPr>
        <w:pStyle w:val="Paragraphedeliste"/>
        <w:numPr>
          <w:ilvl w:val="0"/>
          <w:numId w:val="29"/>
        </w:numPr>
        <w:autoSpaceDE w:val="0"/>
        <w:autoSpaceDN w:val="0"/>
        <w:adjustRightInd w:val="0"/>
        <w:spacing w:after="0" w:line="240" w:lineRule="auto"/>
        <w:jc w:val="both"/>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Le kit prestataire PAV (annexe 1</w:t>
      </w:r>
      <w:r w:rsidR="007347D6" w:rsidRPr="00002B20">
        <w:rPr>
          <w:rFonts w:ascii="ITCAvantGardeStd-Bk" w:hAnsi="ITCAvantGardeStd-Bk" w:cs="ITCAvantGardeStd-Bk"/>
          <w:color w:val="585757"/>
          <w:sz w:val="20"/>
          <w:szCs w:val="20"/>
        </w:rPr>
        <w:t>) ;</w:t>
      </w:r>
    </w:p>
    <w:p w:rsidR="007347D6" w:rsidRPr="00002B20" w:rsidRDefault="007347D6" w:rsidP="00002B20">
      <w:pPr>
        <w:pStyle w:val="Paragraphedeliste"/>
        <w:numPr>
          <w:ilvl w:val="0"/>
          <w:numId w:val="29"/>
        </w:numPr>
        <w:autoSpaceDE w:val="0"/>
        <w:autoSpaceDN w:val="0"/>
        <w:adjustRightInd w:val="0"/>
        <w:spacing w:after="0" w:line="240" w:lineRule="auto"/>
        <w:jc w:val="both"/>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 xml:space="preserve">Le bordereau de prix (annexe </w:t>
      </w:r>
      <w:r w:rsidR="00836503" w:rsidRPr="00002B20">
        <w:rPr>
          <w:rFonts w:ascii="ITCAvantGardeStd-Bk" w:hAnsi="ITCAvantGardeStd-Bk" w:cs="ITCAvantGardeStd-Bk"/>
          <w:color w:val="585757"/>
          <w:sz w:val="20"/>
          <w:szCs w:val="20"/>
        </w:rPr>
        <w:t>2</w:t>
      </w:r>
      <w:r w:rsidRPr="00002B20">
        <w:rPr>
          <w:rFonts w:ascii="ITCAvantGardeStd-Bk" w:hAnsi="ITCAvantGardeStd-Bk" w:cs="ITCAvantGardeStd-Bk"/>
          <w:color w:val="585757"/>
          <w:sz w:val="20"/>
          <w:szCs w:val="20"/>
        </w:rPr>
        <w:t>) ;</w:t>
      </w:r>
    </w:p>
    <w:p w:rsidR="007347D6" w:rsidRPr="00002B20" w:rsidRDefault="007347D6" w:rsidP="00002B20">
      <w:pPr>
        <w:pStyle w:val="Paragraphedeliste"/>
        <w:numPr>
          <w:ilvl w:val="0"/>
          <w:numId w:val="29"/>
        </w:numPr>
        <w:autoSpaceDE w:val="0"/>
        <w:autoSpaceDN w:val="0"/>
        <w:adjustRightInd w:val="0"/>
        <w:spacing w:after="0" w:line="240" w:lineRule="auto"/>
        <w:jc w:val="both"/>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La f</w:t>
      </w:r>
      <w:r w:rsidR="00836503" w:rsidRPr="00002B20">
        <w:rPr>
          <w:rFonts w:ascii="ITCAvantGardeStd-Bk" w:hAnsi="ITCAvantGardeStd-Bk" w:cs="ITCAvantGardeStd-Bk"/>
          <w:color w:val="585757"/>
          <w:sz w:val="20"/>
          <w:szCs w:val="20"/>
        </w:rPr>
        <w:t>iche d’identification (annexe 3)</w:t>
      </w:r>
      <w:r w:rsidRPr="00002B20">
        <w:rPr>
          <w:rFonts w:ascii="ITCAvantGardeStd-Bk" w:hAnsi="ITCAvantGardeStd-Bk" w:cs="ITCAvantGardeStd-Bk"/>
          <w:color w:val="585757"/>
          <w:sz w:val="20"/>
          <w:szCs w:val="20"/>
        </w:rPr>
        <w:t> ;</w:t>
      </w:r>
    </w:p>
    <w:p w:rsidR="00836503" w:rsidRPr="00002B20" w:rsidRDefault="00836503" w:rsidP="00002B20">
      <w:pPr>
        <w:pStyle w:val="Paragraphedeliste"/>
        <w:numPr>
          <w:ilvl w:val="0"/>
          <w:numId w:val="29"/>
        </w:numPr>
        <w:autoSpaceDE w:val="0"/>
        <w:autoSpaceDN w:val="0"/>
        <w:adjustRightInd w:val="0"/>
        <w:spacing w:after="0" w:line="240" w:lineRule="auto"/>
        <w:jc w:val="both"/>
        <w:rPr>
          <w:rFonts w:ascii="ITCAvantGardeStd-Bk" w:hAnsi="ITCAvantGardeStd-Bk" w:cs="ITCAvantGardeStd-Bk"/>
          <w:color w:val="585757"/>
          <w:sz w:val="20"/>
          <w:szCs w:val="20"/>
        </w:rPr>
      </w:pPr>
      <w:r w:rsidRPr="00002B20">
        <w:rPr>
          <w:rFonts w:ascii="ITCAvantGardeStd-Bk" w:hAnsi="ITCAvantGardeStd-Bk" w:cs="ITCAvantGardeStd-Bk"/>
          <w:color w:val="585757"/>
          <w:sz w:val="20"/>
          <w:szCs w:val="20"/>
        </w:rPr>
        <w:t>CHMF – Lignes directrices des relations entre les éco-organismes organisationnels et les opérateurs de la gestion des déchets – version du 28 mars 2012 (annexe 4) ;</w:t>
      </w:r>
    </w:p>
    <w:p w:rsidR="00836503" w:rsidRDefault="00836503"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L’ensemble des réponses aux questions posées par les candidats.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3.2 Réponse groupée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candidat peut décider, pour répondre à cet appel à candidature, de réaliser un groupement, de faire appel à des sous-traitants ou tout autre montage détaillé dans le mémoire technique.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Dans ce cas, il devra y avoir un seul porteur du dossier de réponse. Ce porteur sera l’interlocuteur unique de Valdelia pour la remise de la candidature mais également dans l’exécution de la prestation. Les membres du groupement ou les sous-traitants et leurs rôles devront être clairement présentés dans le dossier du candidat.</w:t>
      </w:r>
    </w:p>
    <w:p w:rsidR="007E64CD" w:rsidRPr="007E64CD" w:rsidRDefault="007E64CD" w:rsidP="007347D6">
      <w:pPr>
        <w:autoSpaceDE w:val="0"/>
        <w:autoSpaceDN w:val="0"/>
        <w:adjustRightInd w:val="0"/>
        <w:spacing w:after="0" w:line="240" w:lineRule="auto"/>
        <w:jc w:val="both"/>
        <w:rPr>
          <w:rFonts w:ascii="ITCAvantGardeStd-Bk" w:hAnsi="ITCAvantGardeStd-Bk" w:cs="ITCAvantGardeStd-Bk"/>
          <w:color w:val="90A3A5"/>
          <w:sz w:val="24"/>
          <w:szCs w:val="24"/>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3.3 Questions des candidats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Tout candidat a la possibilité de poser des questions, uniquement par écrit, soit par courriel</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w:t>
      </w:r>
      <w:r w:rsidR="00402C12">
        <w:rPr>
          <w:rFonts w:ascii="ITCAvantGardeStd-Bk" w:hAnsi="ITCAvantGardeStd-Bk" w:cs="ITCAvantGardeStd-Bk"/>
          <w:color w:val="5C7BBD"/>
          <w:sz w:val="20"/>
          <w:szCs w:val="20"/>
        </w:rPr>
        <w:t>appeloffres@v</w:t>
      </w:r>
      <w:r>
        <w:rPr>
          <w:rFonts w:ascii="ITCAvantGardeStd-Bk" w:hAnsi="ITCAvantGardeStd-Bk" w:cs="ITCAvantGardeStd-Bk"/>
          <w:color w:val="5C7BBD"/>
          <w:sz w:val="20"/>
          <w:szCs w:val="20"/>
        </w:rPr>
        <w:t>aldelia.org</w:t>
      </w:r>
      <w:r>
        <w:rPr>
          <w:rFonts w:ascii="ITCAvantGardeStd-Bk" w:hAnsi="ITCAvantGardeStd-Bk" w:cs="ITCAvantGardeStd-Bk"/>
          <w:color w:val="585757"/>
          <w:sz w:val="20"/>
          <w:szCs w:val="20"/>
        </w:rPr>
        <w:t xml:space="preserve">) soit par courrier reçu avant le </w:t>
      </w:r>
      <w:r w:rsidR="00002B20">
        <w:rPr>
          <w:rFonts w:ascii="ITCAvantGardeStd-Bk" w:hAnsi="ITCAvantGardeStd-Bk" w:cs="ITCAvantGardeStd-Bk"/>
          <w:color w:val="585757"/>
          <w:sz w:val="20"/>
          <w:szCs w:val="20"/>
        </w:rPr>
        <w:t>16 Avril 2015</w:t>
      </w:r>
      <w:r>
        <w:rPr>
          <w:rFonts w:ascii="ITCAvantGardeStd-Bk" w:hAnsi="ITCAvantGardeStd-Bk" w:cs="ITCAvantGardeStd-Bk"/>
          <w:color w:val="585757"/>
          <w:sz w:val="20"/>
          <w:szCs w:val="20"/>
        </w:rPr>
        <w:t xml:space="preserve"> à 12 h 00 à :</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Valdelia - Réponse aux Appels à Candidature</w:t>
      </w:r>
      <w:r w:rsidR="00EA478F">
        <w:rPr>
          <w:rFonts w:ascii="ITCAvantGardeStd-Bold" w:hAnsi="ITCAvantGardeStd-Bold" w:cs="ITCAvantGardeStd-Bold"/>
          <w:b/>
          <w:bCs/>
          <w:color w:val="585757"/>
          <w:sz w:val="20"/>
          <w:szCs w:val="20"/>
        </w:rPr>
        <w:t xml:space="preserve"> PAV</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11 rue Heinrich</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92100 Boulogne-Billancourt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service Achats y répondra par courriel dans un délai d’une semaine.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Toutes les réponses seront considérées comme des annexes au présent document et seront envoyées à l’intéressé et mises en ligne sur le site internet de Valdelia. Aucun envoi généralisé à tous les candidats ne sera fait.</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3.4 Date limite de réponse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dossiers complets de candidatures (cf. chap. 3.5) devront être reçus au plus tard le lundi </w:t>
      </w:r>
      <w:r w:rsidR="00002B20">
        <w:rPr>
          <w:rFonts w:ascii="ITCAvantGardeStd-Bk" w:hAnsi="ITCAvantGardeStd-Bk" w:cs="ITCAvantGardeStd-Bk"/>
          <w:color w:val="585757"/>
          <w:sz w:val="20"/>
          <w:szCs w:val="20"/>
        </w:rPr>
        <w:t>20 Avril</w:t>
      </w:r>
      <w:r>
        <w:rPr>
          <w:rFonts w:ascii="ITCAvantGardeStd-Bk" w:hAnsi="ITCAvantGardeStd-Bk" w:cs="ITCAvantGardeStd-Bk"/>
          <w:color w:val="585757"/>
          <w:sz w:val="20"/>
          <w:szCs w:val="20"/>
        </w:rPr>
        <w:t xml:space="preserve"> à 12 h 00.</w:t>
      </w:r>
    </w:p>
    <w:p w:rsidR="00002B20" w:rsidRPr="00D46075" w:rsidRDefault="00002B20"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3.5 Format de la réponse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k" w:hAnsi="ITCAvantGardeStd-Bk" w:cs="ITCAvantGardeStd-Bk"/>
          <w:color w:val="585757"/>
          <w:sz w:val="20"/>
          <w:szCs w:val="20"/>
        </w:rPr>
        <w:t xml:space="preserve">Tous les documents demandés devront être transmis en main propre ou par voie postale, sous format informatique (CD / clé USB) ET en version papier, à l’adresse ci-dessous au plus tard le </w:t>
      </w:r>
      <w:r w:rsidR="00002B20">
        <w:rPr>
          <w:rFonts w:ascii="ITCAvantGardeStd-Bk" w:hAnsi="ITCAvantGardeStd-Bk" w:cs="ITCAvantGardeStd-Bk"/>
          <w:color w:val="585757"/>
          <w:sz w:val="20"/>
          <w:szCs w:val="20"/>
        </w:rPr>
        <w:t>20 Avril 2015</w:t>
      </w:r>
      <w:r>
        <w:rPr>
          <w:rFonts w:ascii="ITCAvantGardeStd-Bk" w:hAnsi="ITCAvantGardeStd-Bk" w:cs="ITCAvantGardeStd-Bk"/>
          <w:color w:val="585757"/>
          <w:sz w:val="20"/>
          <w:szCs w:val="20"/>
        </w:rPr>
        <w:t xml:space="preserve"> à 12 h 00 :</w:t>
      </w:r>
      <w:r w:rsidR="007E64CD">
        <w:rPr>
          <w:rFonts w:ascii="ITCAvantGardeStd-Bk" w:hAnsi="ITCAvantGardeStd-Bk" w:cs="ITCAvantGardeStd-Bk"/>
          <w:color w:val="585757"/>
          <w:sz w:val="20"/>
          <w:szCs w:val="20"/>
        </w:rPr>
        <w:t xml:space="preserve"> </w:t>
      </w:r>
      <w:r>
        <w:rPr>
          <w:rFonts w:ascii="ITCAvantGardeStd-Bold" w:hAnsi="ITCAvantGardeStd-Bold" w:cs="ITCAvantGardeStd-Bold"/>
          <w:b/>
          <w:bCs/>
          <w:color w:val="585757"/>
          <w:sz w:val="20"/>
          <w:szCs w:val="20"/>
        </w:rPr>
        <w:t>Valdelia - Réponse aux Appels à Candidature</w:t>
      </w:r>
      <w:r w:rsidR="007E64CD">
        <w:rPr>
          <w:rFonts w:ascii="ITCAvantGardeStd-Bold" w:hAnsi="ITCAvantGardeStd-Bold" w:cs="ITCAvantGardeStd-Bold"/>
          <w:b/>
          <w:bCs/>
          <w:color w:val="585757"/>
          <w:sz w:val="20"/>
          <w:szCs w:val="20"/>
        </w:rPr>
        <w:t xml:space="preserve"> - </w:t>
      </w:r>
      <w:r>
        <w:rPr>
          <w:rFonts w:ascii="ITCAvantGardeStd-Bold" w:hAnsi="ITCAvantGardeStd-Bold" w:cs="ITCAvantGardeStd-Bold"/>
          <w:b/>
          <w:bCs/>
          <w:color w:val="585757"/>
          <w:sz w:val="20"/>
          <w:szCs w:val="20"/>
        </w:rPr>
        <w:t>11 rue Heinrich</w:t>
      </w:r>
      <w:r w:rsidR="007E64CD">
        <w:rPr>
          <w:rFonts w:ascii="ITCAvantGardeStd-Bold" w:hAnsi="ITCAvantGardeStd-Bold" w:cs="ITCAvantGardeStd-Bold"/>
          <w:b/>
          <w:bCs/>
          <w:color w:val="585757"/>
          <w:sz w:val="20"/>
          <w:szCs w:val="20"/>
        </w:rPr>
        <w:t xml:space="preserve"> - </w:t>
      </w:r>
      <w:r>
        <w:rPr>
          <w:rFonts w:ascii="ITCAvantGardeStd-Bold" w:hAnsi="ITCAvantGardeStd-Bold" w:cs="ITCAvantGardeStd-Bold"/>
          <w:b/>
          <w:bCs/>
          <w:color w:val="585757"/>
          <w:sz w:val="20"/>
          <w:szCs w:val="20"/>
        </w:rPr>
        <w:t>92100 Boulogne-Billancourt</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r>
        <w:rPr>
          <w:rFonts w:ascii="ITCAvantGardeStd-Bk" w:hAnsi="ITCAvantGardeStd-Bk" w:cs="ITCAvantGardeStd-Bk"/>
          <w:color w:val="F49118"/>
          <w:sz w:val="20"/>
          <w:szCs w:val="20"/>
        </w:rPr>
        <w:t>Aucun envoi par courriel ne sera accepté.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Composition du dossier de candidature :</w:t>
      </w:r>
    </w:p>
    <w:p w:rsidR="007347D6" w:rsidRPr="00BC3D11" w:rsidRDefault="007347D6" w:rsidP="007347D6">
      <w:pPr>
        <w:pStyle w:val="Paragraphedeliste"/>
        <w:numPr>
          <w:ilvl w:val="0"/>
          <w:numId w:val="1"/>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Bord</w:t>
      </w:r>
      <w:r w:rsidR="00117422">
        <w:rPr>
          <w:rFonts w:ascii="ITCAvantGardeStd-Bk" w:hAnsi="ITCAvantGardeStd-Bk" w:cs="ITCAvantGardeStd-Bk"/>
          <w:color w:val="585757"/>
          <w:sz w:val="20"/>
          <w:szCs w:val="20"/>
        </w:rPr>
        <w:t>ereau de prix complété (annexe 2</w:t>
      </w:r>
      <w:r w:rsidRPr="00BC3D11">
        <w:rPr>
          <w:rFonts w:ascii="ITCAvantGardeStd-Bk" w:hAnsi="ITCAvantGardeStd-Bk" w:cs="ITCAvantGardeStd-Bk"/>
          <w:color w:val="585757"/>
          <w:sz w:val="20"/>
          <w:szCs w:val="20"/>
        </w:rPr>
        <w:t>).</w:t>
      </w:r>
    </w:p>
    <w:p w:rsidR="007347D6" w:rsidRPr="00BC3D11" w:rsidRDefault="007347D6" w:rsidP="007347D6">
      <w:pPr>
        <w:pStyle w:val="Paragraphedeliste"/>
        <w:numPr>
          <w:ilvl w:val="0"/>
          <w:numId w:val="1"/>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Le fichier information</w:t>
      </w:r>
      <w:r w:rsidR="00117422">
        <w:rPr>
          <w:rFonts w:ascii="ITCAvantGardeStd-Bk" w:hAnsi="ITCAvantGardeStd-Bk" w:cs="ITCAvantGardeStd-Bk"/>
          <w:color w:val="585757"/>
          <w:sz w:val="20"/>
          <w:szCs w:val="20"/>
        </w:rPr>
        <w:t>s prestataire complété (annexe 3</w:t>
      </w:r>
      <w:r w:rsidRPr="00BC3D11">
        <w:rPr>
          <w:rFonts w:ascii="ITCAvantGardeStd-Bk" w:hAnsi="ITCAvantGardeStd-Bk" w:cs="ITCAvantGardeStd-Bk"/>
          <w:color w:val="585757"/>
          <w:sz w:val="20"/>
          <w:szCs w:val="20"/>
        </w:rPr>
        <w:t>).</w:t>
      </w:r>
    </w:p>
    <w:p w:rsidR="007347D6" w:rsidRPr="00BC3D11" w:rsidRDefault="007347D6" w:rsidP="007347D6">
      <w:pPr>
        <w:pStyle w:val="Paragraphedeliste"/>
        <w:numPr>
          <w:ilvl w:val="0"/>
          <w:numId w:val="1"/>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Présentation du site et/ou du groupe.</w:t>
      </w:r>
    </w:p>
    <w:p w:rsidR="007347D6" w:rsidRPr="00BC3D11" w:rsidRDefault="007347D6" w:rsidP="007347D6">
      <w:pPr>
        <w:pStyle w:val="Paragraphedeliste"/>
        <w:numPr>
          <w:ilvl w:val="0"/>
          <w:numId w:val="1"/>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 xml:space="preserve">Le mémoire technique dans lequel est notamment décrit </w:t>
      </w:r>
      <w:r>
        <w:rPr>
          <w:rFonts w:ascii="ITCAvantGardeStd-Bk" w:hAnsi="ITCAvantGardeStd-Bk" w:cs="ITCAvantGardeStd-Bk"/>
          <w:color w:val="585757"/>
          <w:sz w:val="20"/>
          <w:szCs w:val="20"/>
        </w:rPr>
        <w:t>la zone allouée à Valdelia</w:t>
      </w:r>
      <w:r w:rsidRPr="00BC3D11">
        <w:rPr>
          <w:rFonts w:ascii="ITCAvantGardeStd-Bk" w:hAnsi="ITCAvantGardeStd-Bk" w:cs="ITCAvantGardeStd-Bk"/>
          <w:color w:val="585757"/>
          <w:sz w:val="20"/>
          <w:szCs w:val="20"/>
        </w:rPr>
        <w:t>, les procédures de suivi du marché Valdelia, l’organisation mise en place pour garantir un haut niveau de qualité de service, la liste des sous-traitants le cas échéant,...</w:t>
      </w:r>
    </w:p>
    <w:p w:rsidR="007347D6" w:rsidRPr="00BC3D11" w:rsidRDefault="007347D6" w:rsidP="007347D6">
      <w:pPr>
        <w:pStyle w:val="Paragraphedeliste"/>
        <w:numPr>
          <w:ilvl w:val="0"/>
          <w:numId w:val="1"/>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Tous les documents complémentaires listés au chapitre 3.1</w:t>
      </w:r>
      <w:r w:rsidR="00117422">
        <w:rPr>
          <w:rFonts w:ascii="ITCAvantGardeStd-Bk" w:hAnsi="ITCAvantGardeStd-Bk" w:cs="ITCAvantGardeStd-Bk"/>
          <w:color w:val="585757"/>
          <w:sz w:val="20"/>
          <w:szCs w:val="20"/>
        </w:rPr>
        <w:t>3</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un candidat répondant sur plusieurs sites, il est possible de n’envoyer qu’une présentation générale de l’entreprise du candidat au format papier.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Elle devra dans ce cas être complétée d’une liste récapitulant les dossiers auxquelles elle se rapporte.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Cependant, la version informatique devra toujours comporter une présentation de l’entreprise pour chaque lot et/ou bassin de collecte.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3.6 Variante/Option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A0589"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Une variante ou option pourra être proposée par le candidat.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7E64CD"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7E64CD">
        <w:rPr>
          <w:rFonts w:ascii="ITCAvantGardeStd-Bk" w:hAnsi="ITCAvantGardeStd-Bk" w:cs="ITCAvantGardeStd-Bk"/>
          <w:color w:val="90A3A5"/>
          <w:sz w:val="44"/>
          <w:szCs w:val="44"/>
        </w:rPr>
        <w:t>3.7 Contact commercial</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contact commercial sera, pendant toute la durée du contrat, l’interlocuteur du service Achats.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Lors de la phase de négociation, il sera l’interlocuteur de Valdelia pour la phase de discussion sur les dossiers de candidature.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Il sera </w:t>
      </w:r>
      <w:r w:rsidR="00C923C8">
        <w:rPr>
          <w:rFonts w:ascii="ITCAvantGardeStd-Bk" w:hAnsi="ITCAvantGardeStd-Bk" w:cs="ITCAvantGardeStd-Bk"/>
          <w:color w:val="585757"/>
          <w:sz w:val="20"/>
          <w:szCs w:val="20"/>
        </w:rPr>
        <w:t>également l’interlocuteur</w:t>
      </w:r>
      <w:r>
        <w:rPr>
          <w:rFonts w:ascii="ITCAvantGardeStd-Bk" w:hAnsi="ITCAvantGardeStd-Bk" w:cs="ITCAvantGardeStd-Bk"/>
          <w:color w:val="585757"/>
          <w:sz w:val="20"/>
          <w:szCs w:val="20"/>
        </w:rPr>
        <w:t xml:space="preserve"> pour le suivi du contrat.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Il sera contacté par le service Achats à chaque litige constaté.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990FC8">
        <w:rPr>
          <w:rFonts w:ascii="ITCAvantGardeStd-Bk" w:hAnsi="ITCAvantGardeStd-Bk" w:cs="ITCAvantGardeStd-Bk"/>
          <w:color w:val="585757"/>
          <w:sz w:val="20"/>
          <w:szCs w:val="20"/>
        </w:rPr>
        <w:t>Il sera le garant, auprès de Valdelia, du suivi des documents administratifs à fournir (attestation de vigilance tous les 6 mois</w:t>
      </w:r>
      <w:r>
        <w:rPr>
          <w:rFonts w:ascii="ITCAvantGardeStd-Bk" w:hAnsi="ITCAvantGardeStd-Bk" w:cs="ITCAvantGardeStd-Bk"/>
          <w:color w:val="585757"/>
          <w:sz w:val="20"/>
          <w:szCs w:val="20"/>
        </w:rPr>
        <w:t>, attestation d’assurance tous les ans et tous les autres documents ou courriers d’échanges).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En cas de changement du contact commercial, Valdelia devra être informé par courrier recommandé.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Il </w:t>
      </w:r>
      <w:r w:rsidR="00C923C8">
        <w:rPr>
          <w:rFonts w:ascii="ITCAvantGardeStd-Bk" w:hAnsi="ITCAvantGardeStd-Bk" w:cs="ITCAvantGardeStd-Bk"/>
          <w:color w:val="585757"/>
          <w:sz w:val="20"/>
          <w:szCs w:val="20"/>
        </w:rPr>
        <w:t xml:space="preserve">pourra être </w:t>
      </w:r>
      <w:r>
        <w:rPr>
          <w:rFonts w:ascii="ITCAvantGardeStd-Bk" w:hAnsi="ITCAvantGardeStd-Bk" w:cs="ITCAvantGardeStd-Bk"/>
          <w:color w:val="585757"/>
          <w:sz w:val="20"/>
          <w:szCs w:val="20"/>
        </w:rPr>
        <w:t>contacté par Valdelia pour l’établissement d’un prix pour une opération ponctuelle ou dans le cadre de la R&amp;D.</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90A3A5"/>
          <w:sz w:val="48"/>
          <w:szCs w:val="48"/>
        </w:rPr>
      </w:pPr>
      <w:r>
        <w:rPr>
          <w:rFonts w:ascii="ITCAvantGardeStd-Bk" w:hAnsi="ITCAvantGardeStd-Bk" w:cs="ITCAvantGardeStd-Bk"/>
          <w:color w:val="90A3A5"/>
          <w:sz w:val="48"/>
          <w:szCs w:val="48"/>
        </w:rPr>
        <w:t>3.8 Contact opérationnel</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contact opérationnel sera le contact au quotidien des équipes de Valdelia pour la bonne réalisation de la prestation.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Il sera informé des procédures Valdelia (Cf. Art 4.8 du </w:t>
      </w:r>
      <w:proofErr w:type="spellStart"/>
      <w:r>
        <w:rPr>
          <w:rFonts w:ascii="ITCAvantGardeStd-Bk" w:hAnsi="ITCAvantGardeStd-Bk" w:cs="ITCAvantGardeStd-Bk"/>
          <w:color w:val="585757"/>
          <w:sz w:val="20"/>
          <w:szCs w:val="20"/>
        </w:rPr>
        <w:t>CdC</w:t>
      </w:r>
      <w:proofErr w:type="spellEnd"/>
      <w:r>
        <w:rPr>
          <w:rFonts w:ascii="ITCAvantGardeStd-Bk" w:hAnsi="ITCAvantGardeStd-Bk" w:cs="ITCAvantGardeStd-Bk"/>
          <w:color w:val="585757"/>
          <w:sz w:val="20"/>
          <w:szCs w:val="20"/>
        </w:rPr>
        <w: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Il devra accepter les apports de mobilier entrant dans la filière Valdelia, réaliser la traçabilité demandée, faire remonter à Valdelia les éventuels dysfonctionnements, faire la saisie des données dans le système d’information et faire face aux imprévus.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1941A6">
        <w:rPr>
          <w:rFonts w:ascii="ITCAvantGardeStd-Bk" w:hAnsi="ITCAvantGardeStd-Bk" w:cs="ITCAvantGardeStd-Bk"/>
          <w:color w:val="585757"/>
          <w:sz w:val="20"/>
          <w:szCs w:val="20"/>
        </w:rPr>
        <w:t>Il devra être joignable pendant les heures de bureau (de 8 heures à 16 heures). En cas d’absence, il doit y avoir un remplaçant en mesure d’assurer les même fonctions.</w:t>
      </w:r>
      <w:r>
        <w:rPr>
          <w:rFonts w:ascii="ITCAvantGardeStd-Bk" w:hAnsi="ITCAvantGardeStd-Bk" w:cs="ITCAvantGardeStd-Bk"/>
          <w:color w:val="585757"/>
          <w:sz w:val="20"/>
          <w:szCs w:val="20"/>
        </w:rPr>
        <w:t xml:space="preserve"> </w:t>
      </w: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3.9 Validité des réponses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éléments de réponses seront valables jusqu’à la couverture </w:t>
      </w:r>
      <w:r w:rsidR="0083526A">
        <w:rPr>
          <w:rFonts w:ascii="ITCAvantGardeStd-Bk" w:hAnsi="ITCAvantGardeStd-Bk" w:cs="ITCAvantGardeStd-Bk"/>
          <w:color w:val="585757"/>
          <w:sz w:val="20"/>
          <w:szCs w:val="20"/>
        </w:rPr>
        <w:t xml:space="preserve">de </w:t>
      </w:r>
      <w:r>
        <w:rPr>
          <w:rFonts w:ascii="ITCAvantGardeStd-Bk" w:hAnsi="ITCAvantGardeStd-Bk" w:cs="ITCAvantGardeStd-Bk"/>
          <w:color w:val="585757"/>
          <w:sz w:val="20"/>
          <w:szCs w:val="20"/>
        </w:rPr>
        <w:t>100% des bassins d’emploi par un ou plusieurs PAV. Tout dossier incomplet ne sera pas pris en compte.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 réserve le droit de rejeter toute cotation dans son intégralité remise par le prestataire ainsi que toute cotation ne répondant pas à la demande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 réserve également le droit de négocier les éléments de réponse des candidats.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3.1</w:t>
      </w:r>
      <w:r w:rsidR="00117422" w:rsidRPr="00144DC0">
        <w:rPr>
          <w:rFonts w:ascii="ITCAvantGardeStd-Bk" w:hAnsi="ITCAvantGardeStd-Bk" w:cs="ITCAvantGardeStd-Bk"/>
          <w:color w:val="90A3A5"/>
          <w:sz w:val="44"/>
          <w:szCs w:val="44"/>
        </w:rPr>
        <w:t>0</w:t>
      </w:r>
      <w:r w:rsidRPr="00144DC0">
        <w:rPr>
          <w:rFonts w:ascii="ITCAvantGardeStd-Bk" w:hAnsi="ITCAvantGardeStd-Bk" w:cs="ITCAvantGardeStd-Bk"/>
          <w:color w:val="90A3A5"/>
          <w:sz w:val="44"/>
          <w:szCs w:val="44"/>
        </w:rPr>
        <w:t xml:space="preserve"> Notification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notifiera à chaque candidat :</w:t>
      </w:r>
    </w:p>
    <w:p w:rsidR="007347D6" w:rsidRPr="00BC3D11" w:rsidRDefault="007347D6" w:rsidP="007347D6">
      <w:pPr>
        <w:pStyle w:val="Paragraphedeliste"/>
        <w:numPr>
          <w:ilvl w:val="0"/>
          <w:numId w:val="2"/>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La réception de son dossier de candidature,</w:t>
      </w:r>
    </w:p>
    <w:p w:rsidR="007347D6" w:rsidRPr="00BC3D11" w:rsidRDefault="007347D6" w:rsidP="007347D6">
      <w:pPr>
        <w:pStyle w:val="Paragraphedeliste"/>
        <w:numPr>
          <w:ilvl w:val="0"/>
          <w:numId w:val="2"/>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Sa sélection à la phase de négociation, en cas de besoin,</w:t>
      </w:r>
    </w:p>
    <w:p w:rsidR="007347D6" w:rsidRPr="00BC3D11" w:rsidRDefault="007347D6" w:rsidP="007347D6">
      <w:pPr>
        <w:pStyle w:val="Paragraphedeliste"/>
        <w:numPr>
          <w:ilvl w:val="0"/>
          <w:numId w:val="2"/>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La décision finale de Valdelia sur son dossier.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Ces notifications se feront par mail à l’attention du contact commercial désigné dans le dossier.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3.11 Critères de sélection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sélection des offres se fera selon 3 critères :</w:t>
      </w:r>
    </w:p>
    <w:p w:rsidR="007347D6" w:rsidRPr="00BC3D11" w:rsidRDefault="0083526A" w:rsidP="007347D6">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performance technique (50</w:t>
      </w:r>
      <w:r w:rsidR="007347D6" w:rsidRPr="00BC3D11">
        <w:rPr>
          <w:rFonts w:ascii="ITCAvantGardeStd-Bk" w:hAnsi="ITCAvantGardeStd-Bk" w:cs="ITCAvantGardeStd-Bk"/>
          <w:color w:val="585757"/>
          <w:sz w:val="20"/>
          <w:szCs w:val="20"/>
        </w:rPr>
        <w:t xml:space="preserve"> %).</w:t>
      </w:r>
    </w:p>
    <w:p w:rsidR="007347D6" w:rsidRPr="00BC3D11" w:rsidRDefault="0083526A" w:rsidP="007347D6">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critère social (25</w:t>
      </w:r>
      <w:r w:rsidR="007347D6" w:rsidRPr="00BC3D11">
        <w:rPr>
          <w:rFonts w:ascii="ITCAvantGardeStd-Bk" w:hAnsi="ITCAvantGardeStd-Bk" w:cs="ITCAvantGardeStd-Bk"/>
          <w:color w:val="585757"/>
          <w:sz w:val="20"/>
          <w:szCs w:val="20"/>
        </w:rPr>
        <w:t xml:space="preserve"> %).</w:t>
      </w:r>
    </w:p>
    <w:p w:rsidR="007347D6" w:rsidRPr="00BC3D11" w:rsidRDefault="007347D6" w:rsidP="007347D6">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Le prix (25 %).</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 critère technique</w:t>
      </w:r>
    </w:p>
    <w:p w:rsidR="007347D6" w:rsidRPr="00D45F1B"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Plusieurs points seront pris en compte dans la notation comme :</w:t>
      </w:r>
    </w:p>
    <w:p w:rsidR="007347D6" w:rsidRPr="00D45F1B" w:rsidRDefault="007347D6" w:rsidP="00D45F1B">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 xml:space="preserve">La pertinence géographique, </w:t>
      </w:r>
    </w:p>
    <w:p w:rsidR="007347D6" w:rsidRPr="00D45F1B" w:rsidRDefault="007347D6" w:rsidP="00D45F1B">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L’accessibilité du site,</w:t>
      </w:r>
    </w:p>
    <w:p w:rsidR="007347D6" w:rsidRPr="00D45F1B" w:rsidRDefault="007347D6" w:rsidP="00D45F1B">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L’amplitude horaire pour l’accueil des détenteurs de mobilier professionnel usagé.</w:t>
      </w:r>
    </w:p>
    <w:p w:rsidR="007347D6" w:rsidRPr="00D45F1B" w:rsidRDefault="007347D6" w:rsidP="00D45F1B">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Les capacités du prestataire à accompagner le développement de la filière Valdelia,</w:t>
      </w:r>
    </w:p>
    <w:p w:rsidR="007347D6" w:rsidRPr="00D45F1B" w:rsidRDefault="007347D6" w:rsidP="00D45F1B">
      <w:pPr>
        <w:pStyle w:val="Paragraphedeliste"/>
        <w:numPr>
          <w:ilvl w:val="0"/>
          <w:numId w:val="3"/>
        </w:numPr>
        <w:autoSpaceDE w:val="0"/>
        <w:autoSpaceDN w:val="0"/>
        <w:adjustRightInd w:val="0"/>
        <w:spacing w:after="0" w:line="240" w:lineRule="auto"/>
        <w:jc w:val="both"/>
        <w:rPr>
          <w:rFonts w:ascii="ITCAvantGardeStd-Bk" w:hAnsi="ITCAvantGardeStd-Bk" w:cs="ITCAvantGardeStd-Bk"/>
          <w:color w:val="585757"/>
          <w:sz w:val="20"/>
          <w:szCs w:val="20"/>
        </w:rPr>
      </w:pPr>
      <w:r w:rsidRPr="00D45F1B">
        <w:rPr>
          <w:rFonts w:ascii="ITCAvantGardeStd-Bk" w:hAnsi="ITCAvantGardeStd-Bk" w:cs="ITCAvantGardeStd-Bk"/>
          <w:color w:val="585757"/>
          <w:sz w:val="20"/>
          <w:szCs w:val="20"/>
        </w:rPr>
        <w:t>La qualité de service apportée.</w:t>
      </w:r>
    </w:p>
    <w:p w:rsidR="00D951F0" w:rsidRDefault="00D951F0"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 critère social</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 critère repose sur deux aspects qui seront jugés de façon égalitaire :</w:t>
      </w:r>
    </w:p>
    <w:p w:rsidR="007347D6" w:rsidRPr="00BC3D11" w:rsidRDefault="007347D6" w:rsidP="007347D6">
      <w:pPr>
        <w:pStyle w:val="Paragraphedeliste"/>
        <w:numPr>
          <w:ilvl w:val="0"/>
          <w:numId w:val="5"/>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Mesures en faveur de la lutte contre l’exclusion de personnes en grande difficulté : est retenu pour ce critère le fait de réaliser des embauches directes, sous-traitance à une EI, recours à une ETTI ou un GEIQ,</w:t>
      </w:r>
    </w:p>
    <w:p w:rsidR="007347D6" w:rsidRPr="00BC3D11" w:rsidRDefault="007347D6" w:rsidP="007347D6">
      <w:pPr>
        <w:pStyle w:val="Paragraphedeliste"/>
        <w:numPr>
          <w:ilvl w:val="0"/>
          <w:numId w:val="5"/>
        </w:numPr>
        <w:autoSpaceDE w:val="0"/>
        <w:autoSpaceDN w:val="0"/>
        <w:adjustRightInd w:val="0"/>
        <w:spacing w:after="0" w:line="240" w:lineRule="auto"/>
        <w:jc w:val="both"/>
        <w:rPr>
          <w:rFonts w:ascii="ITCAvantGardeStd-Bk" w:hAnsi="ITCAvantGardeStd-Bk" w:cs="ITCAvantGardeStd-Bk"/>
          <w:color w:val="585757"/>
          <w:sz w:val="20"/>
          <w:szCs w:val="20"/>
        </w:rPr>
      </w:pPr>
      <w:r w:rsidRPr="00BC3D11">
        <w:rPr>
          <w:rFonts w:ascii="ITCAvantGardeStd-Bk" w:hAnsi="ITCAvantGardeStd-Bk" w:cs="ITCAvantGardeStd-Bk"/>
          <w:color w:val="585757"/>
          <w:sz w:val="20"/>
          <w:szCs w:val="20"/>
        </w:rPr>
        <w:t>Mesures de préservation de l’emploi : est retenu pour ce critère le fait de conserver ou de créer des emplois du fait du marché obtenu.</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Le prix</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cotation remise par le candidat sera un élément de discussion lors de la phase de sélection finale des dossiers de candidature.</w:t>
      </w:r>
    </w:p>
    <w:p w:rsidR="007347D6" w:rsidRPr="00E0647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3.12 Analyse des</w:t>
      </w:r>
      <w:r w:rsidR="00402C12" w:rsidRPr="00144DC0">
        <w:rPr>
          <w:rFonts w:ascii="ITCAvantGardeStd-Bk" w:hAnsi="ITCAvantGardeStd-Bk" w:cs="ITCAvantGardeStd-Bk"/>
          <w:color w:val="90A3A5"/>
          <w:sz w:val="44"/>
          <w:szCs w:val="44"/>
        </w:rPr>
        <w:t xml:space="preserve"> candidatures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D45F1B" w:rsidRDefault="00D45F1B" w:rsidP="00D45F1B">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choix du prestataire se fera en trois temps :</w:t>
      </w:r>
    </w:p>
    <w:p w:rsidR="00D45F1B" w:rsidRDefault="00D45F1B" w:rsidP="00D45F1B">
      <w:pPr>
        <w:autoSpaceDE w:val="0"/>
        <w:autoSpaceDN w:val="0"/>
        <w:adjustRightInd w:val="0"/>
        <w:spacing w:after="0" w:line="240" w:lineRule="auto"/>
        <w:jc w:val="both"/>
        <w:rPr>
          <w:rFonts w:ascii="ITCAvantGardeStd-Bk" w:hAnsi="ITCAvantGardeStd-Bk" w:cs="ITCAvantGardeStd-Bk"/>
          <w:color w:val="585757"/>
          <w:sz w:val="20"/>
          <w:szCs w:val="20"/>
        </w:rPr>
      </w:pPr>
    </w:p>
    <w:p w:rsidR="00D45F1B" w:rsidRPr="00576D8C" w:rsidRDefault="00D45F1B" w:rsidP="00D45F1B">
      <w:pPr>
        <w:pStyle w:val="Paragraphedeliste"/>
        <w:numPr>
          <w:ilvl w:val="0"/>
          <w:numId w:val="30"/>
        </w:numPr>
        <w:autoSpaceDE w:val="0"/>
        <w:autoSpaceDN w:val="0"/>
        <w:adjustRightInd w:val="0"/>
        <w:spacing w:after="0" w:line="240" w:lineRule="auto"/>
        <w:jc w:val="both"/>
        <w:rPr>
          <w:rFonts w:ascii="ITCAvantGardeStd-Bk" w:hAnsi="ITCAvantGardeStd-Bk" w:cs="ITCAvantGardeStd-Bk"/>
          <w:color w:val="585757"/>
          <w:sz w:val="20"/>
          <w:szCs w:val="20"/>
        </w:rPr>
      </w:pPr>
      <w:r w:rsidRPr="00576D8C">
        <w:rPr>
          <w:rFonts w:ascii="ITCAvantGardeStd-Bk" w:hAnsi="ITCAvantGardeStd-Bk" w:cs="ITCAvantGardeStd-Bk"/>
          <w:color w:val="585757"/>
          <w:sz w:val="20"/>
          <w:szCs w:val="20"/>
        </w:rPr>
        <w:t xml:space="preserve"> analyse des dossiers des candidats afin de les classer selon leurs notes technique et sociale,</w:t>
      </w:r>
    </w:p>
    <w:p w:rsidR="00D45F1B" w:rsidRPr="00576D8C" w:rsidRDefault="00D45F1B" w:rsidP="00D45F1B">
      <w:pPr>
        <w:pStyle w:val="Paragraphedeliste"/>
        <w:numPr>
          <w:ilvl w:val="0"/>
          <w:numId w:val="30"/>
        </w:numPr>
        <w:autoSpaceDE w:val="0"/>
        <w:autoSpaceDN w:val="0"/>
        <w:adjustRightInd w:val="0"/>
        <w:spacing w:after="0" w:line="240" w:lineRule="auto"/>
        <w:jc w:val="both"/>
        <w:rPr>
          <w:rFonts w:ascii="ITCAvantGardeStd-Bk" w:hAnsi="ITCAvantGardeStd-Bk" w:cs="ITCAvantGardeStd-Bk"/>
          <w:color w:val="585757"/>
          <w:sz w:val="20"/>
          <w:szCs w:val="20"/>
        </w:rPr>
      </w:pPr>
      <w:r w:rsidRPr="00576D8C">
        <w:rPr>
          <w:rFonts w:ascii="ITCAvantGardeStd-Bk" w:hAnsi="ITCAvantGardeStd-Bk" w:cs="ITCAvantGardeStd-Bk"/>
          <w:color w:val="585757"/>
          <w:sz w:val="20"/>
          <w:szCs w:val="20"/>
        </w:rPr>
        <w:t xml:space="preserve"> les 2 ou 3 meilleurs candidats </w:t>
      </w:r>
      <w:r>
        <w:rPr>
          <w:rFonts w:ascii="ITCAvantGardeStd-Bk" w:hAnsi="ITCAvantGardeStd-Bk" w:cs="ITCAvantGardeStd-Bk"/>
          <w:color w:val="585757"/>
          <w:sz w:val="20"/>
          <w:szCs w:val="20"/>
        </w:rPr>
        <w:t xml:space="preserve">seront amenés à discuter de leur dossier avec Valdelia </w:t>
      </w:r>
    </w:p>
    <w:p w:rsidR="00D45F1B" w:rsidRPr="00576D8C" w:rsidRDefault="00D45F1B" w:rsidP="00D45F1B">
      <w:pPr>
        <w:pStyle w:val="Paragraphedeliste"/>
        <w:numPr>
          <w:ilvl w:val="0"/>
          <w:numId w:val="30"/>
        </w:numPr>
        <w:autoSpaceDE w:val="0"/>
        <w:autoSpaceDN w:val="0"/>
        <w:adjustRightInd w:val="0"/>
        <w:spacing w:after="0" w:line="240" w:lineRule="auto"/>
        <w:jc w:val="both"/>
        <w:rPr>
          <w:rFonts w:ascii="ITCAvantGardeStd-Bk" w:hAnsi="ITCAvantGardeStd-Bk" w:cs="ITCAvantGardeStd-Bk"/>
          <w:color w:val="585757"/>
          <w:sz w:val="20"/>
          <w:szCs w:val="20"/>
        </w:rPr>
      </w:pPr>
      <w:r w:rsidRPr="00576D8C">
        <w:rPr>
          <w:rFonts w:ascii="ITCAvantGardeStd-Bk" w:hAnsi="ITCAvantGardeStd-Bk" w:cs="ITCAvantGardeStd-Bk"/>
          <w:color w:val="585757"/>
          <w:sz w:val="20"/>
          <w:szCs w:val="20"/>
        </w:rPr>
        <w:t xml:space="preserve"> diffusion du choix au prestataire, suite à la validation des dossiers et des prix.</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3.13 Informations complémentaires</w:t>
      </w:r>
    </w:p>
    <w:p w:rsidR="007347D6" w:rsidRDefault="007347D6" w:rsidP="007347D6">
      <w:pPr>
        <w:autoSpaceDE w:val="0"/>
        <w:autoSpaceDN w:val="0"/>
        <w:adjustRightInd w:val="0"/>
        <w:spacing w:after="0" w:line="240" w:lineRule="auto"/>
        <w:jc w:val="both"/>
        <w:rPr>
          <w:rFonts w:ascii="Fengardo" w:hAnsi="Fengardo" w:cs="Fengardo"/>
          <w:color w:val="FFFFFF"/>
          <w:sz w:val="24"/>
          <w:szCs w:val="24"/>
        </w:rPr>
      </w:pPr>
      <w:r>
        <w:rPr>
          <w:rFonts w:ascii="Fengardo" w:hAnsi="Fengardo" w:cs="Fengardo"/>
          <w:color w:val="FFFFFF"/>
          <w:sz w:val="24"/>
          <w:szCs w:val="24"/>
        </w:rPr>
        <w:t>Liste des documents obligatoires à fournir</w:t>
      </w:r>
    </w:p>
    <w:p w:rsidR="007347D6" w:rsidRPr="00306FFD"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En plus des éléments techniques et financiers, les dossiers de candidatures devront comporter :</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Certificat de conseiller à la sécurité (si réception de produits dangereux).</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Attestation de vigilance (obligatoire si plus de 300</w:t>
      </w:r>
      <w:r>
        <w:rPr>
          <w:rFonts w:ascii="ITCAvantGardeStd-Bk" w:hAnsi="ITCAvantGardeStd-Bk" w:cs="ITCAvantGardeStd-Bk"/>
          <w:color w:val="585757"/>
          <w:sz w:val="20"/>
          <w:szCs w:val="20"/>
        </w:rPr>
        <w:t>0</w:t>
      </w:r>
      <w:r w:rsidRPr="00306FFD">
        <w:rPr>
          <w:rFonts w:ascii="ITCAvantGardeStd-Bk" w:hAnsi="ITCAvantGardeStd-Bk" w:cs="ITCAvantGardeStd-Bk"/>
          <w:color w:val="585757"/>
          <w:sz w:val="20"/>
          <w:szCs w:val="20"/>
        </w:rPr>
        <w:t>€ de CA/an</w:t>
      </w:r>
      <w:r>
        <w:rPr>
          <w:rFonts w:ascii="ITCAvantGardeStd-Bk" w:hAnsi="ITCAvantGardeStd-Bk" w:cs="ITCAvantGardeStd-Bk"/>
          <w:color w:val="585757"/>
          <w:sz w:val="20"/>
          <w:szCs w:val="20"/>
        </w:rPr>
        <w:t xml:space="preserve"> avec Valdelia</w:t>
      </w:r>
      <w:r w:rsidRPr="00306FFD">
        <w:rPr>
          <w:rFonts w:ascii="ITCAvantGardeStd-Bk" w:hAnsi="ITCAvantGardeStd-Bk" w:cs="ITCAvantGardeStd-Bk"/>
          <w:color w:val="585757"/>
          <w:sz w:val="20"/>
          <w:szCs w:val="20"/>
        </w:rPr>
        <w:t>, à fournir tous les 6 mois).</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Certificat d'assurance Responsabilité Civile</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Liasse fiscale 2013</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Convention d'agrément pour l’ESS ou une attestation sur l’honneur de non recours à une entreprise de l’ESS pour réaliser des prestations.</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Extrait K-Bis (-3 mois)</w:t>
      </w:r>
    </w:p>
    <w:p w:rsidR="007347D6" w:rsidRPr="00306FFD" w:rsidRDefault="007347D6" w:rsidP="007347D6">
      <w:pPr>
        <w:pStyle w:val="Paragraphedeliste"/>
        <w:numPr>
          <w:ilvl w:val="0"/>
          <w:numId w:val="4"/>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Arrêté préfectoral</w:t>
      </w:r>
    </w:p>
    <w:p w:rsidR="007347D6" w:rsidRPr="00724D8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r w:rsidRPr="00724D86">
        <w:rPr>
          <w:rFonts w:ascii="ITCAvantGardeStd-Bk" w:hAnsi="ITCAvantGardeStd-Bk" w:cs="ITCAvantGardeStd-Bk"/>
          <w:color w:val="F49118"/>
          <w:sz w:val="20"/>
          <w:szCs w:val="20"/>
        </w:rPr>
        <w:t>L’absence d’un ou plusieurs documents de la liste des documents obligatoires entrainera le rejet du dossier du candidat.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3.14 Contrat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contrat par Point d’Apport Volontaire sera signé entre le candidat retenu et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présent document, les réponses aux questions, le dossier du candidat retenu (BP, tableau des pénalités, etc.) et les éléments de négociation seront intégrés au contrat de prestation. Ce dernier devra être signé au plus tard la veille de la date de démarrage de l’activité. Tout contrat non signé à cette date entrainera le rejet de la candidature. Valdelia proposera alors à un autre candidat de se positionner sur ce marché.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3.15 Restitution de l’Appel à Candidature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A l’issu des différentes phases de sélection des dossiers par bassin d’emploi, Valdelia diffusera à l’ensemble des candidats par bassin d’emploi une copie de la fiche d’évaluation et de notation de leur dossier de candidature.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Valdelia répondra de façon individuelle aux questions particulières de tous les candidats qui en feront la demande.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demandes de précisions devront être faites par mail à </w:t>
      </w:r>
      <w:r>
        <w:rPr>
          <w:rFonts w:ascii="ITCAvantGardeStd-Bk" w:hAnsi="ITCAvantGardeStd-Bk" w:cs="ITCAvantGardeStd-Bk"/>
          <w:color w:val="5C7BBD"/>
          <w:sz w:val="20"/>
          <w:szCs w:val="20"/>
        </w:rPr>
        <w:t xml:space="preserve">appeloffres@valdelia.org </w:t>
      </w:r>
      <w:r>
        <w:rPr>
          <w:rFonts w:ascii="ITCAvantGardeStd-Bk" w:hAnsi="ITCAvantGardeStd-Bk" w:cs="ITCAvantGardeStd-Bk"/>
          <w:color w:val="585757"/>
          <w:sz w:val="20"/>
          <w:szCs w:val="20"/>
        </w:rPr>
        <w:t>ou par courrier à :</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 xml:space="preserve">Valdelia - Réponse aux </w:t>
      </w:r>
      <w:r w:rsidR="00F44BF6">
        <w:rPr>
          <w:rFonts w:ascii="ITCAvantGardeStd-Bold" w:hAnsi="ITCAvantGardeStd-Bold" w:cs="ITCAvantGardeStd-Bold"/>
          <w:b/>
          <w:bCs/>
          <w:color w:val="585757"/>
          <w:sz w:val="20"/>
          <w:szCs w:val="20"/>
        </w:rPr>
        <w:t>Appels à Candidature PAV</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11 rue Heinrich</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r>
        <w:rPr>
          <w:rFonts w:ascii="ITCAvantGardeStd-Bold" w:hAnsi="ITCAvantGardeStd-Bold" w:cs="ITCAvantGardeStd-Bold"/>
          <w:b/>
          <w:bCs/>
          <w:color w:val="585757"/>
          <w:sz w:val="20"/>
          <w:szCs w:val="20"/>
        </w:rPr>
        <w:t>92100 Boulogne-Billancourt</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585757"/>
          <w:sz w:val="20"/>
          <w:szCs w:val="20"/>
        </w:rPr>
      </w:pP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4. Exigences générales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4D6273"/>
          <w:sz w:val="20"/>
          <w:szCs w:val="20"/>
        </w:rPr>
      </w:pPr>
      <w:r>
        <w:rPr>
          <w:rFonts w:ascii="ITCAvantGardeStd-Demi" w:hAnsi="ITCAvantGardeStd-Demi" w:cs="ITCAvantGardeStd-Demi"/>
          <w:color w:val="4D6273"/>
          <w:sz w:val="48"/>
          <w:szCs w:val="48"/>
        </w:rPr>
        <w:t xml:space="preserve"> </w:t>
      </w: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4.1 Durée du contrat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44BF6">
        <w:rPr>
          <w:rFonts w:ascii="ITCAvantGardeStd-Bk" w:hAnsi="ITCAvantGardeStd-Bk" w:cs="ITCAvantGardeStd-Bk"/>
          <w:color w:val="585757"/>
          <w:sz w:val="20"/>
          <w:szCs w:val="20"/>
        </w:rPr>
        <w:t xml:space="preserve">Le contrat sera signé pour une durée </w:t>
      </w:r>
      <w:r w:rsidR="00F44BF6" w:rsidRPr="00F44BF6">
        <w:rPr>
          <w:rFonts w:ascii="ITCAvantGardeStd-Bk" w:hAnsi="ITCAvantGardeStd-Bk" w:cs="ITCAvantGardeStd-Bk"/>
          <w:color w:val="585757"/>
          <w:sz w:val="20"/>
          <w:szCs w:val="20"/>
        </w:rPr>
        <w:t>d’un</w:t>
      </w:r>
      <w:r w:rsidR="00F44BF6">
        <w:rPr>
          <w:rFonts w:ascii="ITCAvantGardeStd-Bk" w:hAnsi="ITCAvantGardeStd-Bk" w:cs="ITCAvantGardeStd-Bk"/>
          <w:color w:val="585757"/>
          <w:sz w:val="20"/>
          <w:szCs w:val="20"/>
        </w:rPr>
        <w:t xml:space="preserve"> an à la signature du contrat renouvelable en fonction de l’activité du site. </w:t>
      </w:r>
      <w:r>
        <w:rPr>
          <w:rFonts w:ascii="ITCAvantGardeStd-Bk" w:hAnsi="ITCAvantGardeStd-Bk" w:cs="ITCAvantGardeStd-Bk"/>
          <w:color w:val="585757"/>
          <w:sz w:val="20"/>
          <w:szCs w:val="20"/>
        </w:rPr>
        <w:t>Toutes les informations et chiffrages concerneront cette période.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Dans le cas de non-respect par le prestataire de ses obligations contractuelles, la durée contractuelle pourra être écourtée sans possibilité de recours ou d’indemnité.</w:t>
      </w:r>
    </w:p>
    <w:p w:rsidR="00BB1C34" w:rsidRDefault="00BB1C34"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BB1C34" w:rsidRDefault="00BB1C34"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232E5D">
        <w:rPr>
          <w:rFonts w:ascii="ITCAvantGardeStd-Bk" w:hAnsi="ITCAvantGardeStd-Bk" w:cs="ITCAvantGardeStd-Bk"/>
          <w:color w:val="585757"/>
          <w:sz w:val="20"/>
          <w:szCs w:val="20"/>
        </w:rPr>
        <w:t>Tout site ayant un apport annuel inférieur à 6 tonnes verra son contrat s’arrêter. Valdelia avertira le site un mois avant la fin de la période d’un an.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En cas d’interruption imprévue des prestations, même partielle, pour quelque cause que ce soit, le titulaire devra prendre, en urgence, les mesures nécessaires à la continuité du service et en aviser Valdelia dans les délais les plus courts.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4.2 Reconduction du contrat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C362C8"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 contrat pourra être reconduit tous les ans et ce jusqu’à la fin de validité de l’agrément de Valdelia, c’est-à-dire </w:t>
      </w:r>
      <w:r w:rsidR="007347D6">
        <w:rPr>
          <w:rFonts w:ascii="ITCAvantGardeStd-Bk" w:hAnsi="ITCAvantGardeStd-Bk" w:cs="ITCAvantGardeStd-Bk"/>
          <w:color w:val="585757"/>
          <w:sz w:val="20"/>
          <w:szCs w:val="20"/>
        </w:rPr>
        <w:t>jusqu’au 31 décembre 2017.</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ne s’engagera pas au-delà de cette date.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Il n’y a pas de reconduction de contrat envisagé.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4.3 Impact de l’activité Valdelia</w:t>
      </w:r>
    </w:p>
    <w:p w:rsidR="007347D6" w:rsidRPr="005D2BE1"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souhaite s’assurer que ses prestataires ne seront pas dans un état de dépendance économique vis-à-vis du marché Valdelia.</w:t>
      </w:r>
    </w:p>
    <w:p w:rsidR="00E011FB" w:rsidRDefault="00E011FB"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cela, Valdelia demandera à chaque prestataire le chiffre d’affaires de l’année 2013 de l’entité juridique qui portera le marché.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L’objectif de Valdelia est de ne pas dépasser 35 % du chiffre d’affaires du prestataire.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4.4 Sous-traitants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prestataire peut utiliser autant de sous-traitants qu’il le souhaite pour réaliser la prestation pour Valdelia. Il devra s’assurer que tous ses sous-traitants sont en conformité avec la réglementation en vigueur.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Lors des audits prestataires (cf. chap. 15.2), Valdelia pourra demander des éléments justifiant la conformité des sous-traitants (attestation de vigilance, arrêté préfectoral, etc.).</w:t>
      </w:r>
    </w:p>
    <w:p w:rsidR="007347D6" w:rsidRPr="00800018"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4.5 Assurances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prestataire souscrit et maintient pendant toute la durée du présent contrat, les polices d’assurance Responsabilité Civile Exploitation, Professionnelle et Atteinte à l’Environnement, tant délictuelles que contractuelles, auprès d’une compagnie d’assurance reconnue de l’Union Européenne.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Une copie des certificats d’assurance devra être envoyée à Valdelia au début de chaque année du contrat.</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4.6 Respect réglementaire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titulaire s’engage à appliquer les textes législatifs et réglementaires en vigueur notamment en matière de sécurité sociale, législation du travail, code de la route, législation fiscale et protection de l’environnement, 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 réserve le droit de s’assurer à tout moment et par tout moyen que les prescriptions du présent paragraphe sont respectées. En cas de défaillance du prestataire, elle peut se substituer à lui et aux frais de celui-ci.</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90A3A5"/>
          <w:sz w:val="48"/>
          <w:szCs w:val="48"/>
        </w:rPr>
      </w:pPr>
      <w:r>
        <w:rPr>
          <w:rFonts w:ascii="ITCAvantGardeStd-Bk" w:hAnsi="ITCAvantGardeStd-Bk" w:cs="ITCAvantGardeStd-Bk"/>
          <w:color w:val="90A3A5"/>
          <w:sz w:val="48"/>
          <w:szCs w:val="48"/>
        </w:rPr>
        <w:t>4.7 Propriété des cotations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Tous les éléments de cotations soumis à Valdelia deviennent la propriété de Valdelia dans leur totalité. En aucun cas, il ne pourra être demandé à Valdelia un remboursement des coûts ou des dépenses qui auraient pu être engagés dans le cadre de la préparation des réponses.</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4.8 Procédures et fichiers types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Tous les documents d’explication prestataires, les procédures, les documents types, les fichiers Excel ou autres seront remis à chacun lors de la mise en place des marchés.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contact opérationnel sera le garant du respect des procédures Valdelia tout au long du marché et de la bonne exécution des prestations.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En cas d’évolution des procédures, Valdelia s’assurera de </w:t>
      </w:r>
      <w:r w:rsidR="00C620E5">
        <w:rPr>
          <w:rFonts w:ascii="ITCAvantGardeStd-Bk" w:hAnsi="ITCAvantGardeStd-Bk" w:cs="ITCAvantGardeStd-Bk"/>
          <w:color w:val="585757"/>
          <w:sz w:val="20"/>
          <w:szCs w:val="20"/>
        </w:rPr>
        <w:t>la bonne diffusion des nouveaux</w:t>
      </w:r>
      <w:r>
        <w:rPr>
          <w:rFonts w:ascii="ITCAvantGardeStd-Bk" w:hAnsi="ITCAvantGardeStd-Bk" w:cs="ITCAvantGardeStd-Bk"/>
          <w:color w:val="585757"/>
          <w:sz w:val="20"/>
          <w:szCs w:val="20"/>
        </w:rPr>
        <w:t xml:space="preserve"> documents auprès de ses prestataires.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prestataires devront mettre en œuvre les nouvelles procédures à la date demandée par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La procédure actuellement mise en œuvre pour les apports volontaire est en annexe </w:t>
      </w:r>
      <w:r w:rsidR="00C620E5">
        <w:rPr>
          <w:rFonts w:ascii="ITCAvantGardeStd-Bk" w:hAnsi="ITCAvantGardeStd-Bk" w:cs="ITCAvantGardeStd-Bk"/>
          <w:color w:val="585757"/>
          <w:sz w:val="20"/>
          <w:szCs w:val="20"/>
        </w:rPr>
        <w:t>1</w:t>
      </w:r>
      <w:r>
        <w:rPr>
          <w:rFonts w:ascii="ITCAvantGardeStd-Bk" w:hAnsi="ITCAvantGardeStd-Bk" w:cs="ITCAvantGardeStd-Bk"/>
          <w:color w:val="585757"/>
          <w:sz w:val="20"/>
          <w:szCs w:val="20"/>
        </w:rPr>
        <w:t xml:space="preserve"> du présent appel à candidature.</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4.9 Commission d’Harmonisation et de Médiation des Filières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La Commission d’Harmonisation et de Médiation des Filières (CHMF) de collecte sélective et de traitement des déchets a adopté, le 28 mars 2012, les lignes directrices des relations entre les éco-organismes organisationnels et les opérateurs de la gestion des </w:t>
      </w:r>
      <w:r w:rsidR="00C620E5">
        <w:rPr>
          <w:rFonts w:ascii="ITCAvantGardeStd-Bk" w:hAnsi="ITCAvantGardeStd-Bk" w:cs="ITCAvantGardeStd-Bk"/>
          <w:color w:val="585757"/>
          <w:sz w:val="20"/>
          <w:szCs w:val="20"/>
        </w:rPr>
        <w:t>déchets (annexe 4</w:t>
      </w:r>
      <w:r>
        <w:rPr>
          <w:rFonts w:ascii="ITCAvantGardeStd-Bk" w:hAnsi="ITCAvantGardeStd-Bk" w:cs="ITCAvantGardeStd-Bk"/>
          <w:color w:val="585757"/>
          <w:sz w:val="20"/>
          <w:szCs w:val="20"/>
        </w:rPr>
        <w: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Son objectif est de définir les bonnes pratiques que doivent respecter les différentes parties prenantes afin d’assurer de bonnes relations entre tous.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s’engage à prendre en compte les six points demandés par la CHMF.</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Principes directeurs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être conforme à ce point, Valdelia a pris plusieurs mesures : la mise en place d’un COMOP, d’une démarche de progrès continu, prise en compte des préoccupations sociétales de ses prestataires au travers du critère social de jugement des offres, etc.</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Dialogue entre les éco-organismes et les prestataires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dialogue permanent avec les prestataires est mis en place, au travers de groupes de travail ouverts à tous afin de discuter de la vision stratégique de la filière sur le moyen et long terme pour la partie recyclage. Cela permet d’anticiper les mutations technologiques et économiques. Les échanges entre toutes les parties prenantes font, par ailleurs, partie intégrante de la démarche RSE mise en place par Valdelia.</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Choix des opérateurs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sélectionne les opérateurs au travers d’appels d’offres transparents. Toutes les règles de jugement et d’évaluation des prestataires sont clairement définies et communiquées.</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Durée et modalité d’exécution des contrats de prestations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L’allotissement et la durée des marchés sont conformes aux bonnes pratiques : des marchés de collecte et de traitement séparés, un découpage géographique clair avec un engagement territorial pour chaque prestataire, une vérification de la dépendance économique des prestataires, etc. La durée des marchés est de trois ans.</w:t>
      </w:r>
    </w:p>
    <w:p w:rsidR="00F87B38" w:rsidRDefault="00F87B38"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t>Évaluation des prestataires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politique d’audit prestataires de Valdelia a été mise en place dans l’objectif de garantir une évaluation indépendante et transparente de tous les prestataires.</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r>
        <w:rPr>
          <w:rFonts w:ascii="ITCAvantGardeStd-Bold" w:hAnsi="ITCAvantGardeStd-Bold" w:cs="ITCAvantGardeStd-Bold"/>
          <w:b/>
          <w:bCs/>
          <w:color w:val="9BC432"/>
          <w:sz w:val="24"/>
          <w:szCs w:val="24"/>
        </w:rPr>
        <w:lastRenderedPageBreak/>
        <w:t>Évaluation de l’application des lignes directrices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Comme demandé, Valdelia intégrera, chaque année dans son rapport annuel, son évaluation du respect des règles énoncées par la CHMF.</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5. Définition et périmètre du service Point d’Apport Volontaire</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5.1 Le maillage national</w:t>
      </w:r>
    </w:p>
    <w:p w:rsidR="007347D6" w:rsidRPr="00E43598"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7C6E42">
        <w:rPr>
          <w:rFonts w:ascii="ITCAvantGardeStd-Bk" w:hAnsi="ITCAvantGardeStd-Bk" w:cs="ITCAvantGardeStd-Bk"/>
          <w:color w:val="585757"/>
          <w:sz w:val="20"/>
          <w:szCs w:val="20"/>
        </w:rPr>
        <w:t xml:space="preserve">Valdelia souhaite réaliser une gestion locale des DEA professionnels. Pour cela, le maillage </w:t>
      </w:r>
      <w:r>
        <w:rPr>
          <w:rFonts w:ascii="ITCAvantGardeStd-Bk" w:hAnsi="ITCAvantGardeStd-Bk" w:cs="ITCAvantGardeStd-Bk"/>
          <w:color w:val="585757"/>
          <w:sz w:val="20"/>
          <w:szCs w:val="20"/>
        </w:rPr>
        <w:t>des Points d’Apport Volontaire (</w:t>
      </w:r>
      <w:proofErr w:type="spellStart"/>
      <w:r>
        <w:rPr>
          <w:rFonts w:ascii="ITCAvantGardeStd-Bk" w:hAnsi="ITCAvantGardeStd-Bk" w:cs="ITCAvantGardeStd-Bk"/>
          <w:color w:val="585757"/>
          <w:sz w:val="20"/>
          <w:szCs w:val="20"/>
        </w:rPr>
        <w:t>Chap</w:t>
      </w:r>
      <w:proofErr w:type="spellEnd"/>
      <w:r>
        <w:rPr>
          <w:rFonts w:ascii="ITCAvantGardeStd-Bk" w:hAnsi="ITCAvantGardeStd-Bk" w:cs="ITCAvantGardeStd-Bk"/>
          <w:color w:val="585757"/>
          <w:sz w:val="20"/>
          <w:szCs w:val="20"/>
        </w:rPr>
        <w:t xml:space="preserve"> 2.2 du </w:t>
      </w:r>
      <w:proofErr w:type="spellStart"/>
      <w:r>
        <w:rPr>
          <w:rFonts w:ascii="ITCAvantGardeStd-Bk" w:hAnsi="ITCAvantGardeStd-Bk" w:cs="ITCAvantGardeStd-Bk"/>
          <w:color w:val="585757"/>
          <w:sz w:val="20"/>
          <w:szCs w:val="20"/>
        </w:rPr>
        <w:t>CdC</w:t>
      </w:r>
      <w:proofErr w:type="spellEnd"/>
      <w:r>
        <w:rPr>
          <w:rFonts w:ascii="ITCAvantGardeStd-Bk" w:hAnsi="ITCAvantGardeStd-Bk" w:cs="ITCAvantGardeStd-Bk"/>
          <w:color w:val="585757"/>
          <w:sz w:val="20"/>
          <w:szCs w:val="20"/>
        </w:rPr>
        <w:t xml:space="preserve">) </w:t>
      </w:r>
      <w:r w:rsidRPr="007C6E42">
        <w:rPr>
          <w:rFonts w:ascii="ITCAvantGardeStd-Bk" w:hAnsi="ITCAvantGardeStd-Bk" w:cs="ITCAvantGardeStd-Bk"/>
          <w:color w:val="585757"/>
          <w:sz w:val="20"/>
          <w:szCs w:val="20"/>
        </w:rPr>
        <w:t>se doit d’être performant</w:t>
      </w:r>
      <w:r>
        <w:rPr>
          <w:rFonts w:ascii="ITCAvantGardeStd-Bk" w:hAnsi="ITCAvantGardeStd-Bk" w:cs="ITCAvantGardeStd-Bk"/>
          <w:color w:val="585757"/>
          <w:sz w:val="20"/>
          <w:szCs w:val="20"/>
        </w:rPr>
        <w:t xml:space="preserve"> et pertinent sur tout le territoire français</w:t>
      </w:r>
      <w:r w:rsidR="00526169">
        <w:rPr>
          <w:rFonts w:ascii="ITCAvantGardeStd-Bk" w:hAnsi="ITCAvantGardeStd-Bk" w:cs="ITCAvantGardeStd-Bk"/>
          <w:color w:val="585757"/>
          <w:sz w:val="20"/>
          <w:szCs w:val="20"/>
        </w:rPr>
        <w:t>, y compris les DROM-COM</w:t>
      </w:r>
      <w:r>
        <w:rPr>
          <w:rFonts w:ascii="ITCAvantGardeStd-Bk" w:hAnsi="ITCAvantGardeStd-Bk" w:cs="ITCAvantGardeStd-Bk"/>
          <w:color w:val="585757"/>
          <w:sz w:val="20"/>
          <w:szCs w:val="20"/>
        </w:rPr>
        <w:t>.</w:t>
      </w:r>
    </w:p>
    <w:p w:rsidR="007347D6" w:rsidRPr="007C6E42"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Chaque bassin d’emploi bénéficiera d’un ou plusieurs PAV en fonction de la densité d’emploi et de sa superficie.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222BF">
        <w:rPr>
          <w:rFonts w:ascii="ITCAvantGardeStd-Bk" w:hAnsi="ITCAvantGardeStd-Bk" w:cs="ITCAvantGardeStd-Bk"/>
          <w:color w:val="585757"/>
          <w:sz w:val="20"/>
          <w:szCs w:val="20"/>
        </w:rPr>
        <w:t>Ce</w:t>
      </w:r>
      <w:r>
        <w:rPr>
          <w:rFonts w:ascii="ITCAvantGardeStd-Bk" w:hAnsi="ITCAvantGardeStd-Bk" w:cs="ITCAvantGardeStd-Bk"/>
          <w:color w:val="585757"/>
          <w:sz w:val="20"/>
          <w:szCs w:val="20"/>
        </w:rPr>
        <w:t xml:space="preserve"> premier découpage</w:t>
      </w:r>
      <w:r w:rsidR="00B85983">
        <w:rPr>
          <w:rFonts w:ascii="ITCAvantGardeStd-Bk" w:hAnsi="ITCAvantGardeStd-Bk" w:cs="ITCAvantGardeStd-Bk"/>
          <w:color w:val="585757"/>
          <w:sz w:val="20"/>
          <w:szCs w:val="20"/>
        </w:rPr>
        <w:t xml:space="preserve"> (</w:t>
      </w:r>
      <w:proofErr w:type="spellStart"/>
      <w:r w:rsidR="00B85983">
        <w:rPr>
          <w:rFonts w:ascii="ITCAvantGardeStd-Bk" w:hAnsi="ITCAvantGardeStd-Bk" w:cs="ITCAvantGardeStd-Bk"/>
          <w:color w:val="585757"/>
          <w:sz w:val="20"/>
          <w:szCs w:val="20"/>
        </w:rPr>
        <w:t>Chap</w:t>
      </w:r>
      <w:proofErr w:type="spellEnd"/>
      <w:r w:rsidR="00B85983">
        <w:rPr>
          <w:rFonts w:ascii="ITCAvantGardeStd-Bk" w:hAnsi="ITCAvantGardeStd-Bk" w:cs="ITCAvantGardeStd-Bk"/>
          <w:color w:val="585757"/>
          <w:sz w:val="20"/>
          <w:szCs w:val="20"/>
        </w:rPr>
        <w:t xml:space="preserve"> 2.2 du </w:t>
      </w:r>
      <w:proofErr w:type="spellStart"/>
      <w:r w:rsidR="00B85983">
        <w:rPr>
          <w:rFonts w:ascii="ITCAvantGardeStd-Bk" w:hAnsi="ITCAvantGardeStd-Bk" w:cs="ITCAvantGardeStd-Bk"/>
          <w:color w:val="585757"/>
          <w:sz w:val="20"/>
          <w:szCs w:val="20"/>
        </w:rPr>
        <w:t>CdC</w:t>
      </w:r>
      <w:proofErr w:type="spellEnd"/>
      <w:r w:rsidR="00B85983">
        <w:rPr>
          <w:rFonts w:ascii="ITCAvantGardeStd-Bk" w:hAnsi="ITCAvantGardeStd-Bk" w:cs="ITCAvantGardeStd-Bk"/>
          <w:color w:val="585757"/>
          <w:sz w:val="20"/>
          <w:szCs w:val="20"/>
        </w:rPr>
        <w:t>)</w:t>
      </w:r>
      <w:r>
        <w:rPr>
          <w:rFonts w:ascii="ITCAvantGardeStd-Bk" w:hAnsi="ITCAvantGardeStd-Bk" w:cs="ITCAvantGardeStd-Bk"/>
          <w:color w:val="585757"/>
          <w:sz w:val="20"/>
          <w:szCs w:val="20"/>
        </w:rPr>
        <w:t xml:space="preserve">, indicatif, a pour objectif de </w:t>
      </w:r>
      <w:r w:rsidRPr="00F222BF">
        <w:rPr>
          <w:rFonts w:ascii="ITCAvantGardeStd-Bk" w:hAnsi="ITCAvantGardeStd-Bk" w:cs="ITCAvantGardeStd-Bk"/>
          <w:color w:val="585757"/>
          <w:sz w:val="20"/>
          <w:szCs w:val="20"/>
        </w:rPr>
        <w:t xml:space="preserve"> permettr</w:t>
      </w:r>
      <w:r>
        <w:rPr>
          <w:rFonts w:ascii="ITCAvantGardeStd-Bk" w:hAnsi="ITCAvantGardeStd-Bk" w:cs="ITCAvantGardeStd-Bk"/>
          <w:color w:val="585757"/>
          <w:sz w:val="20"/>
          <w:szCs w:val="20"/>
        </w:rPr>
        <w:t>e</w:t>
      </w:r>
      <w:r w:rsidRPr="00F222BF">
        <w:rPr>
          <w:rFonts w:ascii="ITCAvantGardeStd-Bk" w:hAnsi="ITCAvantGardeStd-Bk" w:cs="ITCAvantGardeStd-Bk"/>
          <w:color w:val="585757"/>
          <w:sz w:val="20"/>
          <w:szCs w:val="20"/>
        </w:rPr>
        <w:t xml:space="preserve"> à des acteurs locaux de se positionner sur l’</w:t>
      </w:r>
      <w:r>
        <w:rPr>
          <w:rFonts w:ascii="ITCAvantGardeStd-Bk" w:hAnsi="ITCAvantGardeStd-Bk" w:cs="ITCAvantGardeStd-Bk"/>
          <w:color w:val="585757"/>
          <w:sz w:val="20"/>
          <w:szCs w:val="20"/>
        </w:rPr>
        <w:t>appel à candidature</w:t>
      </w:r>
      <w:r w:rsidRPr="00F222BF">
        <w:rPr>
          <w:rFonts w:ascii="ITCAvantGardeStd-Bk" w:hAnsi="ITCAvantGardeStd-Bk" w:cs="ITCAvantGardeStd-Bk"/>
          <w:color w:val="585757"/>
          <w:sz w:val="20"/>
          <w:szCs w:val="20"/>
        </w:rPr>
        <w:t>.</w:t>
      </w:r>
    </w:p>
    <w:p w:rsidR="007347D6" w:rsidRPr="003C1288"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5.2 Prestations à assurer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prestations à assurer sont :</w:t>
      </w:r>
    </w:p>
    <w:p w:rsidR="007347D6" w:rsidRPr="00306FFD" w:rsidRDefault="007347D6" w:rsidP="007347D6">
      <w:pPr>
        <w:pStyle w:val="Paragraphedeliste"/>
        <w:numPr>
          <w:ilvl w:val="0"/>
          <w:numId w:val="11"/>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Mise à disposition d’une surface PAV Valdelia (Art </w:t>
      </w:r>
      <w:r>
        <w:rPr>
          <w:rFonts w:ascii="ITCAvantGardeStd-Bk" w:hAnsi="ITCAvantGardeStd-Bk" w:cs="ITCAvantGardeStd-Bk"/>
          <w:color w:val="585757"/>
          <w:sz w:val="20"/>
          <w:szCs w:val="20"/>
        </w:rPr>
        <w:t>6</w:t>
      </w:r>
      <w:r w:rsidRPr="00306FFD">
        <w:rPr>
          <w:rFonts w:ascii="ITCAvantGardeStd-Bk" w:hAnsi="ITCAvantGardeStd-Bk" w:cs="ITCAvantGardeStd-Bk"/>
          <w:color w:val="585757"/>
          <w:sz w:val="20"/>
          <w:szCs w:val="20"/>
        </w:rPr>
        <w:t xml:space="preserve">.1 du </w:t>
      </w:r>
      <w:proofErr w:type="spellStart"/>
      <w:r w:rsidRPr="00306FFD">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 ;</w:t>
      </w:r>
    </w:p>
    <w:p w:rsidR="007347D6" w:rsidRPr="00306FFD" w:rsidRDefault="007347D6" w:rsidP="007347D6">
      <w:pPr>
        <w:pStyle w:val="Paragraphedeliste"/>
        <w:numPr>
          <w:ilvl w:val="0"/>
          <w:numId w:val="11"/>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L’accueil des flux de DEA professionnels (Art </w:t>
      </w:r>
      <w:r>
        <w:rPr>
          <w:rFonts w:ascii="ITCAvantGardeStd-Bk" w:hAnsi="ITCAvantGardeStd-Bk" w:cs="ITCAvantGardeStd-Bk"/>
          <w:color w:val="585757"/>
          <w:sz w:val="20"/>
          <w:szCs w:val="20"/>
        </w:rPr>
        <w:t>6</w:t>
      </w:r>
      <w:r w:rsidRPr="00306FFD">
        <w:rPr>
          <w:rFonts w:ascii="ITCAvantGardeStd-Bk" w:hAnsi="ITCAvantGardeStd-Bk" w:cs="ITCAvantGardeStd-Bk"/>
          <w:color w:val="585757"/>
          <w:sz w:val="20"/>
          <w:szCs w:val="20"/>
        </w:rPr>
        <w:t xml:space="preserve">.2 du </w:t>
      </w:r>
      <w:proofErr w:type="spellStart"/>
      <w:r w:rsidRPr="00306FFD">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 ;</w:t>
      </w:r>
    </w:p>
    <w:p w:rsidR="007347D6" w:rsidRPr="00306FFD" w:rsidRDefault="007347D6" w:rsidP="007347D6">
      <w:pPr>
        <w:pStyle w:val="Paragraphedeliste"/>
        <w:numPr>
          <w:ilvl w:val="0"/>
          <w:numId w:val="11"/>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Traçabilité des opérations de réception (Art </w:t>
      </w:r>
      <w:r>
        <w:rPr>
          <w:rFonts w:ascii="ITCAvantGardeStd-Bk" w:hAnsi="ITCAvantGardeStd-Bk" w:cs="ITCAvantGardeStd-Bk"/>
          <w:color w:val="585757"/>
          <w:sz w:val="20"/>
          <w:szCs w:val="20"/>
        </w:rPr>
        <w:t>6</w:t>
      </w:r>
      <w:r w:rsidRPr="00306FFD">
        <w:rPr>
          <w:rFonts w:ascii="ITCAvantGardeStd-Bk" w:hAnsi="ITCAvantGardeStd-Bk" w:cs="ITCAvantGardeStd-Bk"/>
          <w:color w:val="585757"/>
          <w:sz w:val="20"/>
          <w:szCs w:val="20"/>
        </w:rPr>
        <w:t xml:space="preserve">.3 du </w:t>
      </w:r>
      <w:proofErr w:type="spellStart"/>
      <w:r w:rsidRPr="00306FFD">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 ;</w:t>
      </w:r>
    </w:p>
    <w:p w:rsidR="007347D6" w:rsidRPr="00306FFD" w:rsidRDefault="007347D6" w:rsidP="007347D6">
      <w:pPr>
        <w:pStyle w:val="Paragraphedeliste"/>
        <w:numPr>
          <w:ilvl w:val="0"/>
          <w:numId w:val="11"/>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Evacuation des DEA vers un centre de traitement (Art </w:t>
      </w:r>
      <w:r>
        <w:rPr>
          <w:rFonts w:ascii="ITCAvantGardeStd-Bk" w:hAnsi="ITCAvantGardeStd-Bk" w:cs="ITCAvantGardeStd-Bk"/>
          <w:color w:val="585757"/>
          <w:sz w:val="20"/>
          <w:szCs w:val="20"/>
        </w:rPr>
        <w:t>6</w:t>
      </w:r>
      <w:r w:rsidRPr="00306FFD">
        <w:rPr>
          <w:rFonts w:ascii="ITCAvantGardeStd-Bk" w:hAnsi="ITCAvantGardeStd-Bk" w:cs="ITCAvantGardeStd-Bk"/>
          <w:color w:val="585757"/>
          <w:sz w:val="20"/>
          <w:szCs w:val="20"/>
        </w:rPr>
        <w:t xml:space="preserve">.4 du </w:t>
      </w:r>
      <w:proofErr w:type="spellStart"/>
      <w:r w:rsidRPr="00306FFD">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 ;</w:t>
      </w:r>
    </w:p>
    <w:p w:rsidR="007347D6" w:rsidRPr="00144DC0" w:rsidRDefault="007347D6" w:rsidP="007347D6">
      <w:pPr>
        <w:pStyle w:val="Paragraphedeliste"/>
        <w:numPr>
          <w:ilvl w:val="0"/>
          <w:numId w:val="11"/>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Mise à disposition de DEA aux partenaires de l’ESS, si la zone ESS est activée (Art </w:t>
      </w:r>
      <w:r>
        <w:rPr>
          <w:rFonts w:ascii="ITCAvantGardeStd-Bk" w:hAnsi="ITCAvantGardeStd-Bk" w:cs="ITCAvantGardeStd-Bk"/>
          <w:color w:val="585757"/>
          <w:sz w:val="20"/>
          <w:szCs w:val="20"/>
        </w:rPr>
        <w:t>6</w:t>
      </w:r>
      <w:r w:rsidRPr="00306FFD">
        <w:rPr>
          <w:rFonts w:ascii="ITCAvantGardeStd-Bk" w:hAnsi="ITCAvantGardeStd-Bk" w:cs="ITCAvantGardeStd-Bk"/>
          <w:color w:val="585757"/>
          <w:sz w:val="20"/>
          <w:szCs w:val="20"/>
        </w:rPr>
        <w:t xml:space="preserve">.5 du </w:t>
      </w:r>
      <w:proofErr w:type="spellStart"/>
      <w:r w:rsidRPr="00306FFD">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w:t>
      </w:r>
    </w:p>
    <w:p w:rsidR="007347D6" w:rsidRPr="004D7C00"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5.3 Les engagements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s’engage à mettre à disposition de chaque PAV un kit de communication permettant ainsi au PAV de communiquer sur le service.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r>
        <w:rPr>
          <w:rFonts w:ascii="ITCAvantGardeStd-Bk" w:hAnsi="ITCAvantGardeStd-Bk" w:cs="ITCAvantGardeStd-Bk"/>
          <w:color w:val="F49118"/>
          <w:sz w:val="20"/>
          <w:szCs w:val="20"/>
        </w:rPr>
        <w:t>Valdelia ne s’engage pas sur les tonnages confiés.</w:t>
      </w:r>
    </w:p>
    <w:p w:rsidR="007347D6" w:rsidRPr="00D46075"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5.4 Pilotage de la montée en puissance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Mise en place le 1</w:t>
      </w:r>
      <w:r>
        <w:rPr>
          <w:rFonts w:ascii="ITCAvantGardeStd-Bk" w:hAnsi="ITCAvantGardeStd-Bk" w:cs="ITCAvantGardeStd-Bk"/>
          <w:color w:val="585757"/>
          <w:sz w:val="12"/>
          <w:szCs w:val="12"/>
        </w:rPr>
        <w:t xml:space="preserve">er </w:t>
      </w:r>
      <w:r>
        <w:rPr>
          <w:rFonts w:ascii="ITCAvantGardeStd-Bk" w:hAnsi="ITCAvantGardeStd-Bk" w:cs="ITCAvantGardeStd-Bk"/>
          <w:color w:val="585757"/>
          <w:sz w:val="20"/>
          <w:szCs w:val="20"/>
        </w:rPr>
        <w:t xml:space="preserve">mars 2013, la filière de collecte et de recyclage des DEA professionnels est récente ; une montée en puissance des tonnages collectés et traités est attendue : en 2013, Valdelia a eu la gestion de près de 6 000 tonnes. À fin 2014, le tonnage collecté est déjà de </w:t>
      </w:r>
      <w:r w:rsidR="004D6FCB">
        <w:rPr>
          <w:rFonts w:ascii="ITCAvantGardeStd-Bk" w:hAnsi="ITCAvantGardeStd-Bk" w:cs="ITCAvantGardeStd-Bk"/>
          <w:color w:val="585757"/>
          <w:sz w:val="20"/>
          <w:szCs w:val="20"/>
        </w:rPr>
        <w:t>18 500 tonnes. L’objectif pour 2015</w:t>
      </w:r>
      <w:r>
        <w:rPr>
          <w:rFonts w:ascii="ITCAvantGardeStd-Bk" w:hAnsi="ITCAvantGardeStd-Bk" w:cs="ITCAvantGardeStd-Bk"/>
          <w:color w:val="585757"/>
          <w:sz w:val="20"/>
          <w:szCs w:val="20"/>
        </w:rPr>
        <w:t xml:space="preserve"> est de 40 000 tonnes.</w:t>
      </w:r>
    </w:p>
    <w:p w:rsidR="002B75BE" w:rsidRDefault="002B75BE" w:rsidP="002B75BE">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les années du présent marché, une augmentation significative des gisements peut être attendue : Valdelia envisage, si le réflexe de tri auprès des détenteurs est acquis et que tous les acteurs de la filière participent à la filière, de collecter 40 000 tonnes en 2015, 110 000 tonnes en 2016 et 200 000 tonnes en 2017.</w:t>
      </w:r>
      <w:r w:rsidRPr="001E78D4">
        <w:rPr>
          <w:rFonts w:ascii="ITCAvantGardeStd-Bk" w:hAnsi="ITCAvantGardeStd-Bk" w:cs="ITCAvantGardeStd-Bk"/>
          <w:color w:val="585757"/>
          <w:sz w:val="20"/>
          <w:szCs w:val="20"/>
        </w:rPr>
        <w:t xml:space="preserve"> </w:t>
      </w:r>
    </w:p>
    <w:p w:rsidR="002B75BE" w:rsidRDefault="002B75BE" w:rsidP="002B75BE">
      <w:pPr>
        <w:autoSpaceDE w:val="0"/>
        <w:autoSpaceDN w:val="0"/>
        <w:adjustRightInd w:val="0"/>
        <w:spacing w:after="0" w:line="240" w:lineRule="auto"/>
        <w:jc w:val="both"/>
        <w:rPr>
          <w:rFonts w:ascii="ITCAvantGardeStd-Bk" w:hAnsi="ITCAvantGardeStd-Bk" w:cs="ITCAvantGardeStd-Bk"/>
          <w:color w:val="585757"/>
          <w:sz w:val="20"/>
          <w:szCs w:val="20"/>
        </w:rPr>
      </w:pPr>
    </w:p>
    <w:p w:rsidR="002B75BE" w:rsidRDefault="00A77EC6" w:rsidP="002B75BE">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évalue à 10</w:t>
      </w:r>
      <w:r w:rsidR="002B75BE" w:rsidRPr="000B6488">
        <w:rPr>
          <w:rFonts w:ascii="ITCAvantGardeStd-Bk" w:hAnsi="ITCAvantGardeStd-Bk" w:cs="ITCAvantGardeStd-Bk"/>
          <w:color w:val="585757"/>
          <w:sz w:val="20"/>
          <w:szCs w:val="20"/>
        </w:rPr>
        <w:t>00 tonnes de DEA pro</w:t>
      </w:r>
      <w:r w:rsidR="002B75BE">
        <w:rPr>
          <w:rFonts w:ascii="ITCAvantGardeStd-Bk" w:hAnsi="ITCAvantGardeStd-Bk" w:cs="ITCAvantGardeStd-Bk"/>
          <w:color w:val="585757"/>
          <w:sz w:val="20"/>
          <w:szCs w:val="20"/>
        </w:rPr>
        <w:t>fessionnel</w:t>
      </w:r>
      <w:r>
        <w:rPr>
          <w:rFonts w:ascii="ITCAvantGardeStd-Bk" w:hAnsi="ITCAvantGardeStd-Bk" w:cs="ITCAvantGardeStd-Bk"/>
          <w:color w:val="585757"/>
          <w:sz w:val="20"/>
          <w:szCs w:val="20"/>
        </w:rPr>
        <w:t>s</w:t>
      </w:r>
      <w:r w:rsidR="002B75BE" w:rsidRPr="000B6488">
        <w:rPr>
          <w:rFonts w:ascii="ITCAvantGardeStd-Bk" w:hAnsi="ITCAvantGardeStd-Bk" w:cs="ITCAvantGardeStd-Bk"/>
          <w:color w:val="585757"/>
          <w:sz w:val="20"/>
          <w:szCs w:val="20"/>
        </w:rPr>
        <w:t xml:space="preserve"> sur l</w:t>
      </w:r>
      <w:r>
        <w:rPr>
          <w:rFonts w:ascii="ITCAvantGardeStd-Bk" w:hAnsi="ITCAvantGardeStd-Bk" w:cs="ITCAvantGardeStd-Bk"/>
          <w:color w:val="585757"/>
          <w:sz w:val="20"/>
          <w:szCs w:val="20"/>
        </w:rPr>
        <w:t>e département</w:t>
      </w:r>
      <w:r w:rsidR="002B75BE" w:rsidRPr="000B6488">
        <w:rPr>
          <w:rFonts w:ascii="ITCAvantGardeStd-Bk" w:hAnsi="ITCAvantGardeStd-Bk" w:cs="ITCAvantGardeStd-Bk"/>
          <w:color w:val="585757"/>
          <w:sz w:val="20"/>
          <w:szCs w:val="20"/>
        </w:rPr>
        <w: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De nombreuses actions sont menées pour augmenter ces gisements et diffuser le service de Valdelia auprès de tous les détenteurs de mobiliers professionnels :</w:t>
      </w:r>
    </w:p>
    <w:p w:rsidR="007347D6"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recrutement de conseillers techniques,</w:t>
      </w:r>
    </w:p>
    <w:p w:rsidR="00772AB5" w:rsidRPr="00306FFD" w:rsidRDefault="00772AB5"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mise en place de facilitateurs locaux pour les DROM-COM,</w:t>
      </w:r>
    </w:p>
    <w:p w:rsidR="007347D6" w:rsidRPr="00306FFD"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augmentation du nombre de PAV et de CMV,</w:t>
      </w:r>
    </w:p>
    <w:p w:rsidR="007347D6" w:rsidRPr="00306FFD"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campagnes de média (presse papier, radio, web, etc.),</w:t>
      </w:r>
    </w:p>
    <w:p w:rsidR="007347D6" w:rsidRPr="00306FFD"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journées portes ouvertes sur les sites de traitement des prestataires du marché en cours,</w:t>
      </w:r>
    </w:p>
    <w:p w:rsidR="007347D6" w:rsidRPr="00306FFD"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participation à des salons professionnels,</w:t>
      </w:r>
    </w:p>
    <w:p w:rsidR="007347D6" w:rsidRPr="00306FFD" w:rsidRDefault="007347D6" w:rsidP="007347D6">
      <w:pPr>
        <w:pStyle w:val="Paragraphedeliste"/>
        <w:numPr>
          <w:ilvl w:val="0"/>
          <w:numId w:val="12"/>
        </w:numPr>
        <w:autoSpaceDE w:val="0"/>
        <w:autoSpaceDN w:val="0"/>
        <w:adjustRightInd w:val="0"/>
        <w:spacing w:after="0" w:line="240" w:lineRule="auto"/>
        <w:jc w:val="both"/>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prestataires seront sollicités pour organiser des événements de communication en partenariat avec Valdelia dans le but de participer au développement de la filière.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Chaque candidat doit pouvoir faire face à cette montée en puissance. Pour valider sa capacité, chaque candidat devra préciser le tonnage maximal qu’il sera en mesure d’accueillir par mois.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En cas d’opération ou de demande supérieure aux capacités du prestataire, Valdelia et le prestataire étudieront les solutions temporaires ou définitives à prendre afin que le service Valdelia soit assuré auprès des détenteurs de manière performante et irréprochable.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17884"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6</w:t>
      </w:r>
      <w:r w:rsidRPr="007D2959">
        <w:rPr>
          <w:rFonts w:ascii="ITCAvantGardeStd-Demi" w:hAnsi="ITCAvantGardeStd-Demi" w:cs="ITCAvantGardeStd-Demi"/>
          <w:color w:val="4D6273"/>
          <w:sz w:val="48"/>
          <w:szCs w:val="48"/>
        </w:rPr>
        <w:t>.</w:t>
      </w:r>
      <w:r>
        <w:rPr>
          <w:rFonts w:ascii="ITCAvantGardeStd-Demi" w:hAnsi="ITCAvantGardeStd-Demi" w:cs="ITCAvantGardeStd-Demi"/>
          <w:color w:val="4D6273"/>
          <w:sz w:val="48"/>
          <w:szCs w:val="48"/>
        </w:rPr>
        <w:t xml:space="preserve"> Exécution du service : Point d’Apport Volontaire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souhaite garantir aux détenteurs utilisant le service Valdelia un service irréprochable.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2A5C8B"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Points d’Apport Volontaire sont une partie visible de l’activité de Valdelia. Les détenteurs sont les clients des adhérents de Valdelia.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sera donc attentif à la capacité du prestataire à s’engager sur une qualité de service et l’organisation mise en place pour respecter ses engagements.</w:t>
      </w:r>
    </w:p>
    <w:p w:rsidR="007347D6" w:rsidRPr="002A5C8B"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6.1 Mise à disposition d’une surface PAV Valdelia</w:t>
      </w:r>
    </w:p>
    <w:p w:rsidR="00E73A3B" w:rsidRDefault="00E73A3B"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306FFD"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La surface Valdelia mise à disposition par le PAV devra : </w:t>
      </w:r>
    </w:p>
    <w:p w:rsidR="007347D6" w:rsidRPr="00306FFD" w:rsidRDefault="007347D6" w:rsidP="007347D6">
      <w:pPr>
        <w:pStyle w:val="Paragraphedeliste"/>
        <w:numPr>
          <w:ilvl w:val="0"/>
          <w:numId w:val="13"/>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Etre d</w:t>
      </w:r>
      <w:r w:rsidRPr="00306FFD">
        <w:rPr>
          <w:rFonts w:ascii="ITCAvantGardeStd-Bk" w:hAnsi="ITCAvantGardeStd-Bk" w:cs="ITCAvantGardeStd-Bk"/>
          <w:color w:val="585757"/>
          <w:sz w:val="20"/>
          <w:szCs w:val="20"/>
        </w:rPr>
        <w:t>élimitée.</w:t>
      </w:r>
    </w:p>
    <w:p w:rsidR="007347D6" w:rsidRPr="00306FFD" w:rsidRDefault="007347D6" w:rsidP="007347D6">
      <w:pPr>
        <w:pStyle w:val="Paragraphedeliste"/>
        <w:numPr>
          <w:ilvl w:val="0"/>
          <w:numId w:val="13"/>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Avoir un affichage</w:t>
      </w:r>
      <w:r w:rsidRPr="00306FFD">
        <w:rPr>
          <w:rFonts w:ascii="ITCAvantGardeStd-Bk" w:hAnsi="ITCAvantGardeStd-Bk" w:cs="ITCAvantGardeStd-Bk"/>
          <w:color w:val="585757"/>
          <w:sz w:val="20"/>
          <w:szCs w:val="20"/>
        </w:rPr>
        <w:t xml:space="preserve"> « Valdelia ».</w:t>
      </w:r>
    </w:p>
    <w:p w:rsidR="007347D6" w:rsidRPr="00306FFD" w:rsidRDefault="007347D6" w:rsidP="007347D6">
      <w:pPr>
        <w:pStyle w:val="Paragraphedeliste"/>
        <w:numPr>
          <w:ilvl w:val="0"/>
          <w:numId w:val="13"/>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Respecter</w:t>
      </w:r>
      <w:r w:rsidRPr="00306FFD">
        <w:rPr>
          <w:rFonts w:ascii="ITCAvantGardeStd-Bk" w:hAnsi="ITCAvantGardeStd-Bk" w:cs="ITCAvantGardeStd-Bk"/>
          <w:color w:val="585757"/>
          <w:sz w:val="20"/>
          <w:szCs w:val="20"/>
        </w:rPr>
        <w:t xml:space="preserve"> la surface convenue avec Valdelia.</w:t>
      </w:r>
    </w:p>
    <w:p w:rsidR="007347D6" w:rsidRPr="00306FFD" w:rsidRDefault="007347D6" w:rsidP="007347D6">
      <w:pPr>
        <w:pStyle w:val="Paragraphedeliste"/>
        <w:numPr>
          <w:ilvl w:val="0"/>
          <w:numId w:val="13"/>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Etre a</w:t>
      </w:r>
      <w:r w:rsidRPr="00306FFD">
        <w:rPr>
          <w:rFonts w:ascii="ITCAvantGardeStd-Bk" w:hAnsi="ITCAvantGardeStd-Bk" w:cs="ITCAvantGardeStd-Bk"/>
          <w:color w:val="585757"/>
          <w:sz w:val="20"/>
          <w:szCs w:val="20"/>
        </w:rPr>
        <w:t>ménagée pour accueillir les DEA professionnels</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 xml:space="preserve">au moyen d’un affichage dédié </w:t>
      </w:r>
    </w:p>
    <w:p w:rsidR="007347D6" w:rsidRDefault="007347D6" w:rsidP="007347D6">
      <w:pPr>
        <w:pStyle w:val="Paragraphedeliste"/>
        <w:numPr>
          <w:ilvl w:val="0"/>
          <w:numId w:val="13"/>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La zone Valdelia peut également comprendre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une zone supplémentaire dédiée au stockage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temporaire de DEA réutilisables. Cette zone dite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 ESS » est activée par Valdelia (cf. ci-</w:t>
      </w:r>
      <w:r>
        <w:rPr>
          <w:rFonts w:ascii="ITCAvantGardeStd-Bk" w:hAnsi="ITCAvantGardeStd-Bk" w:cs="ITCAvantGardeStd-Bk"/>
          <w:color w:val="585757"/>
          <w:sz w:val="20"/>
          <w:szCs w:val="20"/>
        </w:rPr>
        <w:t xml:space="preserve">6.5 du </w:t>
      </w:r>
      <w:proofErr w:type="spellStart"/>
      <w:r>
        <w:rPr>
          <w:rFonts w:ascii="ITCAvantGardeStd-Bk" w:hAnsi="ITCAvantGardeStd-Bk" w:cs="ITCAvantGardeStd-Bk"/>
          <w:color w:val="585757"/>
          <w:sz w:val="20"/>
          <w:szCs w:val="20"/>
        </w:rPr>
        <w:t>CdC</w:t>
      </w:r>
      <w:proofErr w:type="spellEnd"/>
      <w:r w:rsidRPr="00306FFD">
        <w:rPr>
          <w:rFonts w:ascii="ITCAvantGardeStd-Bk" w:hAnsi="ITCAvantGardeStd-Bk" w:cs="ITCAvantGardeStd-Bk"/>
          <w:color w:val="585757"/>
          <w:sz w:val="20"/>
          <w:szCs w:val="20"/>
        </w:rPr>
        <w:t>).</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Les candidats devront dans leur réponse indiquer la solution souhaitée pour la mise à disposition de la surface :</w:t>
      </w:r>
    </w:p>
    <w:p w:rsidR="007347D6" w:rsidRDefault="007347D6" w:rsidP="007347D6">
      <w:pPr>
        <w:pStyle w:val="Paragraphedeliste"/>
        <w:numPr>
          <w:ilvl w:val="0"/>
          <w:numId w:val="10"/>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Une surface de 15 m2 pourra être allouée avec la mise à disposition par Valdelia d’une benne ouverte en continu.</w:t>
      </w:r>
    </w:p>
    <w:p w:rsidR="007347D6" w:rsidRDefault="007347D6" w:rsidP="007347D6">
      <w:pPr>
        <w:pStyle w:val="Paragraphedeliste"/>
        <w:numPr>
          <w:ilvl w:val="0"/>
          <w:numId w:val="10"/>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Une surface de 30m2 pourra être allouée sans mise à disposition d’une benne en continu. La benne sera déposée sur le site pour toute demande d’évacuation des DEA.</w:t>
      </w:r>
    </w:p>
    <w:p w:rsidR="007347D6" w:rsidRPr="00306FFD" w:rsidRDefault="007347D6" w:rsidP="007347D6">
      <w:pPr>
        <w:pStyle w:val="Paragraphedeliste"/>
        <w:numPr>
          <w:ilvl w:val="0"/>
          <w:numId w:val="10"/>
        </w:num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Une surface de 15m2 pourra être demandée par les candidats, non partenaires ESS de Valdelia, pour l’activation d’une zone ESS.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plan du site avec une identification de la zone PAV est demandé pour toute candidature.</w:t>
      </w:r>
    </w:p>
    <w:p w:rsidR="00E73A3B" w:rsidRDefault="00E73A3B"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6.2 L’accueil des flux de DEA professionnels</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306FFD" w:rsidRDefault="007347D6" w:rsidP="007347D6">
      <w:pPr>
        <w:pStyle w:val="TM1"/>
        <w:rPr>
          <w:rFonts w:ascii="ITCAvantGardeStd-Bk" w:eastAsiaTheme="minorHAnsi" w:hAnsi="ITCAvantGardeStd-Bk" w:cs="ITCAvantGardeStd-Bk"/>
          <w:color w:val="585757"/>
          <w:kern w:val="0"/>
          <w:sz w:val="20"/>
          <w:szCs w:val="20"/>
          <w:lang w:eastAsia="en-US"/>
        </w:rPr>
      </w:pPr>
      <w:r>
        <w:rPr>
          <w:rFonts w:ascii="ITCAvantGardeStd-Bk" w:eastAsiaTheme="minorHAnsi" w:hAnsi="ITCAvantGardeStd-Bk" w:cs="ITCAvantGardeStd-Bk"/>
          <w:color w:val="585757"/>
          <w:kern w:val="0"/>
          <w:sz w:val="20"/>
          <w:szCs w:val="20"/>
          <w:lang w:eastAsia="en-US"/>
        </w:rPr>
        <w:t>Dans le cas d’un PAV</w:t>
      </w:r>
      <w:r w:rsidRPr="00306FFD">
        <w:rPr>
          <w:rFonts w:ascii="ITCAvantGardeStd-Bk" w:eastAsiaTheme="minorHAnsi" w:hAnsi="ITCAvantGardeStd-Bk" w:cs="ITCAvantGardeStd-Bk"/>
          <w:color w:val="585757"/>
          <w:kern w:val="0"/>
          <w:sz w:val="20"/>
          <w:szCs w:val="20"/>
          <w:lang w:eastAsia="en-US"/>
        </w:rPr>
        <w:t xml:space="preserve">, le candidat doit accueillir des détenteurs de DEA professionnels ayant des gisements inférieurs à 20m3 ou inférieurs à 2,4tonnes, dans le respect des règles de sécurité.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assurer une qualité de service, le Point d’Apport Volontaire devra accueillir les éléments suivants dans les conditions suivantes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Des DEA de professionnels exclusivement</w:t>
      </w:r>
      <w:r w:rsidRPr="000F2802">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(artisans, entreprises, etc.) adhérents Valdelia</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ou non.</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Des DEA professionnels cassés ou en bon état.</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Les déchets suivants seront systématiquement</w:t>
      </w:r>
      <w:r w:rsidRPr="000F2802">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refusés sur la zone Valdelia : matelas (y</w:t>
      </w:r>
      <w:r w:rsidRPr="000F2802">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compris</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professionnels), archives, DEEE, DIB, cartons, etc.</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Pour des capacités inférieures à 20 m3</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ou 2,4 t.</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Sans rendez-vous, mais sur la plage d’ouverture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de votre site</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Sans bon de livraison ni document de l’apporteur.</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Sans assistance au déchargement de vos</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équipes.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Afin d’orienter au mieux les détenteurs de lots inférieurs à 2,4T ou 20m3 vers le PAV, le candidat devra transmettre dans le cadre de cet appel à candidature les éléments suivants :</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Adresse exacte du site</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Numéro de téléphone du site</w:t>
      </w:r>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Plan d’accès au site ou plan Google </w:t>
      </w:r>
      <w:proofErr w:type="spellStart"/>
      <w:r w:rsidRPr="00306FFD">
        <w:rPr>
          <w:rFonts w:ascii="ITCAvantGardeStd-Bk" w:hAnsi="ITCAvantGardeStd-Bk" w:cs="ITCAvantGardeStd-Bk"/>
          <w:color w:val="585757"/>
          <w:sz w:val="20"/>
          <w:szCs w:val="20"/>
        </w:rPr>
        <w:t>Map</w:t>
      </w:r>
      <w:proofErr w:type="spellEnd"/>
    </w:p>
    <w:p w:rsidR="007347D6" w:rsidRPr="00306FFD" w:rsidRDefault="007347D6" w:rsidP="007347D6">
      <w:pPr>
        <w:pStyle w:val="Paragraphedeliste"/>
        <w:numPr>
          <w:ilvl w:val="0"/>
          <w:numId w:val="14"/>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Horaires d’ouverture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Pendant les horaires d’ouverture du site, une personne devra se rendre disponible afin d’accueillir le détenteur et vérifier que les déchets apportés soient bien des DEA.</w:t>
      </w:r>
    </w:p>
    <w:p w:rsidR="007347D6" w:rsidRDefault="007347D6" w:rsidP="007347D6">
      <w:pPr>
        <w:autoSpaceDE w:val="0"/>
        <w:autoSpaceDN w:val="0"/>
        <w:adjustRightInd w:val="0"/>
        <w:spacing w:after="0" w:line="240" w:lineRule="auto"/>
        <w:jc w:val="both"/>
        <w:rPr>
          <w:rFonts w:ascii="ITCAvantGardeStd-Bold" w:hAnsi="ITCAvantGardeStd-Bold" w:cs="ITCAvantGardeStd-Bold"/>
          <w:b/>
          <w:bCs/>
          <w:color w:val="9BC432"/>
          <w:sz w:val="24"/>
          <w:szCs w:val="24"/>
        </w:rPr>
      </w:pP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6.3 Traçabilité des opérations de réception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Pour chaque apport, le PAV devra remettre au détenteur un bon d’apport et en conserver une copie dans un registre dédié en cas de contrôle Valdelia.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Il est demandé au site de renseigner</w:t>
      </w:r>
      <w:r w:rsidR="001C306A">
        <w:rPr>
          <w:rFonts w:ascii="ITCAvantGardeStd-Bk" w:hAnsi="ITCAvantGardeStd-Bk" w:cs="ITCAvantGardeStd-Bk"/>
          <w:color w:val="585757"/>
          <w:sz w:val="20"/>
          <w:szCs w:val="20"/>
        </w:rPr>
        <w:t xml:space="preserve"> le bon d’apport avec les éléments suivants</w:t>
      </w:r>
      <w:r>
        <w:rPr>
          <w:rFonts w:ascii="ITCAvantGardeStd-Bk" w:hAnsi="ITCAvantGardeStd-Bk" w:cs="ITCAvantGardeStd-Bk"/>
          <w:color w:val="585757"/>
          <w:sz w:val="20"/>
          <w:szCs w:val="20"/>
        </w:rPr>
        <w:t> :</w:t>
      </w:r>
    </w:p>
    <w:p w:rsidR="007347D6" w:rsidRDefault="007347D6" w:rsidP="007347D6">
      <w:pPr>
        <w:pStyle w:val="Paragraphedeliste"/>
        <w:numPr>
          <w:ilvl w:val="0"/>
          <w:numId w:val="18"/>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raison sociale de votre site.</w:t>
      </w:r>
    </w:p>
    <w:p w:rsidR="007347D6" w:rsidRDefault="007347D6" w:rsidP="007347D6">
      <w:pPr>
        <w:pStyle w:val="Paragraphedeliste"/>
        <w:numPr>
          <w:ilvl w:val="0"/>
          <w:numId w:val="18"/>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raison sociale de l’apporteur</w:t>
      </w:r>
    </w:p>
    <w:p w:rsidR="007347D6" w:rsidRDefault="001C306A" w:rsidP="007347D6">
      <w:pPr>
        <w:pStyle w:val="Paragraphedeliste"/>
        <w:numPr>
          <w:ilvl w:val="0"/>
          <w:numId w:val="18"/>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poids de DEA réceptionnés</w:t>
      </w:r>
      <w:r w:rsidR="00B424F6">
        <w:rPr>
          <w:rFonts w:ascii="ITCAvantGardeStd-Bk" w:hAnsi="ITCAvantGardeStd-Bk" w:cs="ITCAvantGardeStd-Bk"/>
          <w:color w:val="585757"/>
          <w:sz w:val="20"/>
          <w:szCs w:val="20"/>
        </w:rPr>
        <w:t xml:space="preserve"> (pour les sites en mesure de peser)</w:t>
      </w:r>
      <w:r>
        <w:rPr>
          <w:rFonts w:ascii="ITCAvantGardeStd-Bk" w:hAnsi="ITCAvantGardeStd-Bk" w:cs="ITCAvantGardeStd-Bk"/>
          <w:color w:val="585757"/>
          <w:sz w:val="20"/>
          <w:szCs w:val="20"/>
        </w:rPr>
        <w:t xml:space="preserve"> ou l</w:t>
      </w:r>
      <w:r w:rsidR="007347D6">
        <w:rPr>
          <w:rFonts w:ascii="ITCAvantGardeStd-Bk" w:hAnsi="ITCAvantGardeStd-Bk" w:cs="ITCAvantGardeStd-Bk"/>
          <w:color w:val="585757"/>
          <w:sz w:val="20"/>
          <w:szCs w:val="20"/>
        </w:rPr>
        <w:t>e nombre d’unités ré</w:t>
      </w:r>
      <w:r>
        <w:rPr>
          <w:rFonts w:ascii="ITCAvantGardeStd-Bk" w:hAnsi="ITCAvantGardeStd-Bk" w:cs="ITCAvantGardeStd-Bk"/>
          <w:color w:val="585757"/>
          <w:sz w:val="20"/>
          <w:szCs w:val="20"/>
        </w:rPr>
        <w:t>ceptionnées</w:t>
      </w:r>
      <w:r w:rsidR="00B424F6">
        <w:rPr>
          <w:rFonts w:ascii="ITCAvantGardeStd-Bk" w:hAnsi="ITCAvantGardeStd-Bk" w:cs="ITCAvantGardeStd-Bk"/>
          <w:color w:val="585757"/>
          <w:sz w:val="20"/>
          <w:szCs w:val="20"/>
        </w:rPr>
        <w:t xml:space="preserve"> (pour les sites ne pouvant pas peser)</w:t>
      </w:r>
      <w:r w:rsidR="007347D6">
        <w:rPr>
          <w:rFonts w:ascii="ITCAvantGardeStd-Bk" w:hAnsi="ITCAvantGardeStd-Bk" w:cs="ITCAvantGardeStd-Bk"/>
          <w:color w:val="585757"/>
          <w:sz w:val="20"/>
          <w:szCs w:val="20"/>
        </w:rPr>
        <w:t>.</w:t>
      </w:r>
    </w:p>
    <w:p w:rsidR="007347D6" w:rsidRDefault="007347D6" w:rsidP="007347D6">
      <w:pPr>
        <w:pStyle w:val="Paragraphedeliste"/>
        <w:numPr>
          <w:ilvl w:val="0"/>
          <w:numId w:val="18"/>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date de l’apport.</w:t>
      </w:r>
    </w:p>
    <w:p w:rsidR="007347D6" w:rsidRPr="00306FFD" w:rsidRDefault="007347D6" w:rsidP="007347D6">
      <w:pPr>
        <w:pStyle w:val="Paragraphedeliste"/>
        <w:numPr>
          <w:ilvl w:val="0"/>
          <w:numId w:val="18"/>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Signature et tampon du site.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Pour les sites qui sont en mesure de peser, un bon de pesée pourra être fourni au détenteur et annexé au bon d’apport. </w:t>
      </w:r>
    </w:p>
    <w:p w:rsidR="00701BA1" w:rsidRDefault="00701BA1"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01BA1" w:rsidRDefault="00701BA1"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Si le site n’est pas en mesure de peser les apports, il devra compter les unités apportées.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gestion administrative et documentaire de l’opération (édition des bons d’apport, enregistrement du SIO,..) est à la charge du prestataire Valdelia.</w:t>
      </w:r>
    </w:p>
    <w:p w:rsidR="000427D2" w:rsidRDefault="000427D2"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0427D2" w:rsidRPr="0009762A" w:rsidRDefault="000427D2"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les sites ayant une zone ESS activée, il sera demandé de compléter et conserver une attestation de prélèvement qui sera visée par le PAV. Un exemplaire devra être également remis à la structure de l’ESS partenaire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F87B38" w:rsidRDefault="00F87B38"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F87B38" w:rsidRDefault="00F87B38"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F87B38" w:rsidRDefault="00F87B38" w:rsidP="007347D6">
      <w:pPr>
        <w:autoSpaceDE w:val="0"/>
        <w:autoSpaceDN w:val="0"/>
        <w:adjustRightInd w:val="0"/>
        <w:spacing w:after="0" w:line="240" w:lineRule="auto"/>
        <w:jc w:val="both"/>
        <w:rPr>
          <w:rFonts w:ascii="ITCAvantGardeStd-Bk" w:hAnsi="ITCAvantGardeStd-Bk" w:cs="ITCAvantGardeStd-Bk"/>
          <w:color w:val="585757"/>
          <w:sz w:val="20"/>
          <w:szCs w:val="20"/>
        </w:rPr>
      </w:pPr>
      <w:bookmarkStart w:id="0" w:name="_GoBack"/>
      <w:bookmarkEnd w:id="0"/>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6.4 Evacuation vers un centre de traitement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 PAV demandera un enlèvement sur le Système d’Information Valdelia selon les conditions suivantes : </w:t>
      </w:r>
    </w:p>
    <w:p w:rsidR="007347D6" w:rsidRPr="00306FFD"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Lorsque</w:t>
      </w:r>
      <w:r>
        <w:rPr>
          <w:rFonts w:ascii="ITCAvantGardeStd-Bk" w:hAnsi="ITCAvantGardeStd-Bk" w:cs="ITCAvantGardeStd-Bk"/>
          <w:color w:val="585757"/>
          <w:sz w:val="20"/>
          <w:szCs w:val="20"/>
        </w:rPr>
        <w:t xml:space="preserve"> la benne 30m3 est pleine ou que</w:t>
      </w:r>
      <w:r w:rsidRPr="00306FFD">
        <w:rPr>
          <w:rFonts w:ascii="ITCAvantGardeStd-Bk" w:hAnsi="ITCAvantGardeStd-Bk" w:cs="ITCAvantGardeStd-Bk"/>
          <w:color w:val="585757"/>
          <w:sz w:val="20"/>
          <w:szCs w:val="20"/>
        </w:rPr>
        <w:t xml:space="preserve"> le chargement peut </w:t>
      </w:r>
      <w:r>
        <w:rPr>
          <w:rFonts w:ascii="ITCAvantGardeStd-Bk" w:hAnsi="ITCAvantGardeStd-Bk" w:cs="ITCAvantGardeStd-Bk"/>
          <w:color w:val="585757"/>
          <w:sz w:val="20"/>
          <w:szCs w:val="20"/>
        </w:rPr>
        <w:t>r</w:t>
      </w:r>
      <w:r w:rsidRPr="00306FFD">
        <w:rPr>
          <w:rFonts w:ascii="ITCAvantGardeStd-Bk" w:hAnsi="ITCAvantGardeStd-Bk" w:cs="ITCAvantGardeStd-Bk"/>
          <w:color w:val="585757"/>
          <w:sz w:val="20"/>
          <w:szCs w:val="20"/>
        </w:rPr>
        <w:t>emplir une benne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de 30 m</w:t>
      </w:r>
      <w:r>
        <w:rPr>
          <w:rFonts w:ascii="ITCAvantGardeStd-Bk" w:hAnsi="ITCAvantGardeStd-Bk" w:cs="ITCAvantGardeStd-Bk"/>
          <w:color w:val="585757"/>
          <w:sz w:val="20"/>
          <w:szCs w:val="20"/>
        </w:rPr>
        <w:t>3</w:t>
      </w:r>
      <w:r w:rsidRPr="00306FFD">
        <w:rPr>
          <w:rFonts w:ascii="ITCAvantGardeStd-Bk" w:hAnsi="ITCAvantGardeStd-Bk" w:cs="ITCAvantGardeStd-Bk"/>
          <w:color w:val="585757"/>
          <w:sz w:val="20"/>
          <w:szCs w:val="20"/>
        </w:rPr>
        <w:t>.</w:t>
      </w:r>
    </w:p>
    <w:p w:rsidR="007347D6" w:rsidRPr="00306FFD"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Évacuations à déclencher par vos soins</w:t>
      </w:r>
      <w:r>
        <w:rPr>
          <w:rFonts w:ascii="ITCAvantGardeStd-Bk" w:hAnsi="ITCAvantGardeStd-Bk" w:cs="ITCAvantGardeStd-Bk"/>
          <w:color w:val="585757"/>
          <w:sz w:val="20"/>
          <w:szCs w:val="20"/>
        </w:rPr>
        <w:t xml:space="preserve"> sur le SI</w:t>
      </w:r>
      <w:r w:rsidRPr="00306FFD">
        <w:rPr>
          <w:rFonts w:ascii="ITCAvantGardeStd-Bk" w:hAnsi="ITCAvantGardeStd-Bk" w:cs="ITCAvantGardeStd-Bk"/>
          <w:color w:val="585757"/>
          <w:sz w:val="20"/>
          <w:szCs w:val="20"/>
        </w:rPr>
        <w:t xml:space="preserve"> (</w:t>
      </w:r>
      <w:r w:rsidR="00402C12">
        <w:rPr>
          <w:rFonts w:ascii="ITCAvantGardeStd-Bk" w:hAnsi="ITCAvantGardeStd-Bk" w:cs="ITCAvantGardeStd-Bk"/>
          <w:color w:val="585757"/>
          <w:sz w:val="20"/>
          <w:szCs w:val="20"/>
        </w:rPr>
        <w:t>voir kit PAV en annexe 1</w:t>
      </w:r>
      <w:r w:rsidRPr="00306FFD">
        <w:rPr>
          <w:rFonts w:ascii="ITCAvantGardeStd-Bk" w:hAnsi="ITCAvantGardeStd-Bk" w:cs="ITCAvantGardeStd-Bk"/>
          <w:color w:val="585757"/>
          <w:sz w:val="20"/>
          <w:szCs w:val="20"/>
        </w:rPr>
        <w:t>).</w:t>
      </w:r>
    </w:p>
    <w:p w:rsidR="007347D6" w:rsidRPr="00306FFD"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Chargement </w:t>
      </w:r>
      <w:r>
        <w:rPr>
          <w:rFonts w:ascii="ITCAvantGardeStd-Bk" w:hAnsi="ITCAvantGardeStd-Bk" w:cs="ITCAvantGardeStd-Bk"/>
          <w:color w:val="585757"/>
          <w:sz w:val="20"/>
          <w:szCs w:val="20"/>
        </w:rPr>
        <w:t xml:space="preserve">de la </w:t>
      </w:r>
      <w:r w:rsidRPr="00306FFD">
        <w:rPr>
          <w:rFonts w:ascii="ITCAvantGardeStd-Bk" w:hAnsi="ITCAvantGardeStd-Bk" w:cs="ITCAvantGardeStd-Bk"/>
          <w:color w:val="585757"/>
          <w:sz w:val="20"/>
          <w:szCs w:val="20"/>
        </w:rPr>
        <w:t>benne à votre charge.</w:t>
      </w:r>
    </w:p>
    <w:p w:rsidR="007347D6" w:rsidRPr="00306FFD"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Chargement optimisé, dans la mesure du possible.</w:t>
      </w:r>
    </w:p>
    <w:p w:rsidR="007347D6"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Les expéditions devront être exemptes de refus</w:t>
      </w:r>
      <w:r w:rsidRPr="000463E7">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et d’indésirables. Les refus réceptionnés par le</w:t>
      </w:r>
      <w:r w:rsidRPr="000463E7">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centre de traitement vous seront facturés au</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cout réel de leur tri et élimination.</w:t>
      </w:r>
    </w:p>
    <w:p w:rsidR="007347D6" w:rsidRPr="00306FFD" w:rsidRDefault="007347D6" w:rsidP="007347D6">
      <w:pPr>
        <w:pStyle w:val="Paragraphedeliste"/>
        <w:numPr>
          <w:ilvl w:val="0"/>
          <w:numId w:val="19"/>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Signature de l’annexe 2 du BSD émis par le collecteur</w:t>
      </w:r>
      <w:r w:rsidRPr="007D15BB">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 xml:space="preserve">comportant le numéro de transaction </w:t>
      </w:r>
      <w:r w:rsidRPr="007D15BB">
        <w:rPr>
          <w:rFonts w:ascii="ITCAvantGardeStd-Bk" w:hAnsi="ITCAvantGardeStd-Bk" w:cs="ITCAvantGardeStd-Bk"/>
          <w:color w:val="585757"/>
          <w:sz w:val="20"/>
          <w:szCs w:val="20"/>
        </w:rPr>
        <w:t>du SIO.</w:t>
      </w:r>
    </w:p>
    <w:p w:rsidR="007347D6" w:rsidRDefault="007347D6" w:rsidP="007347D6">
      <w:pPr>
        <w:rPr>
          <w:rFonts w:ascii="ITCAvantGardeStd-Bk" w:hAnsi="ITCAvantGardeStd-Bk" w:cs="ITCAvantGardeStd-Bk"/>
          <w:color w:val="585757"/>
          <w:sz w:val="20"/>
          <w:szCs w:val="20"/>
        </w:rPr>
      </w:pPr>
    </w:p>
    <w:p w:rsidR="007347D6" w:rsidRDefault="007347D6" w:rsidP="007347D6">
      <w:pPr>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pénalités en cas de non-respect des procédures Valdelia sont détaillées dans le paragraphe 10.</w:t>
      </w:r>
    </w:p>
    <w:p w:rsidR="007347D6" w:rsidRDefault="007347D6" w:rsidP="007347D6">
      <w:pPr>
        <w:rPr>
          <w:rFonts w:ascii="ITCAvantGardeStd-Bk" w:hAnsi="ITCAvantGardeStd-Bk" w:cs="ITCAvantGardeStd-Bk"/>
          <w:color w:val="585757"/>
          <w:sz w:val="20"/>
          <w:szCs w:val="20"/>
        </w:rPr>
      </w:pPr>
      <w:r>
        <w:rPr>
          <w:rFonts w:ascii="ITCAvantGardeStd-Bk" w:hAnsi="ITCAvantGardeStd-Bk" w:cs="ITCAvantGardeStd-Bk"/>
          <w:color w:val="585757"/>
          <w:sz w:val="20"/>
          <w:szCs w:val="20"/>
        </w:rPr>
        <w:t>Une fois réceptionnés sur le PAV, les DEA appartiennent à Valdelia. Ces éléments devront impérativement rester dans la filière en étant soit évacués vers un centre de traitement Valdelia, soit mis à disposition de partenaires ESS de Valdelia. Toute sortie en dehors de la filière fera d’un rappel à l’ordre pouvant aller jusqu’à la rupture du contrat.</w:t>
      </w:r>
    </w:p>
    <w:p w:rsidR="00FB4D0C" w:rsidRDefault="00FB4D0C" w:rsidP="007347D6">
      <w:r>
        <w:rPr>
          <w:rFonts w:ascii="ITCAvantGardeStd-Bk" w:hAnsi="ITCAvantGardeStd-Bk" w:cs="ITCAvantGardeStd-Bk"/>
          <w:color w:val="585757"/>
          <w:sz w:val="20"/>
          <w:szCs w:val="20"/>
        </w:rPr>
        <w:t xml:space="preserve">Les sites PAV, étant également partenaire ESS de Valdelia, devront tracer le mobilier prélevé sur le PAV en vue d’une réutilisation grâce à l’attestation d’enlèvement mise à disposition par Valdelia dans le kit ESS. </w:t>
      </w:r>
      <w:r w:rsidR="00445314">
        <w:rPr>
          <w:rFonts w:ascii="ITCAvantGardeStd-Bk" w:hAnsi="ITCAvantGardeStd-Bk" w:cs="ITCAvantGardeStd-Bk"/>
          <w:color w:val="585757"/>
          <w:sz w:val="20"/>
          <w:szCs w:val="20"/>
        </w:rPr>
        <w:t>Ces tonnages qui font l’objet de réutilisation, ils ne pourront être facturés par le PAV comme tonne sortante.</w:t>
      </w:r>
    </w:p>
    <w:p w:rsidR="007347D6" w:rsidRPr="00144DC0" w:rsidRDefault="007347D6"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6.5 Gestion des opérations de piquage par l’ESS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Cette prestation est optionnelle et ne concerne que les PAV non partenaires ESS. Valdelia se réserve le droit d’activer ou non cette zone. Si l’activation a été validée, les conditions suivantes devront être respectées :</w:t>
      </w:r>
    </w:p>
    <w:p w:rsidR="007347D6" w:rsidRPr="00306FFD" w:rsidRDefault="007347D6" w:rsidP="007347D6">
      <w:pPr>
        <w:pStyle w:val="Paragraphedeliste"/>
        <w:numPr>
          <w:ilvl w:val="0"/>
          <w:numId w:val="20"/>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Allouer une zone « ESS » après visite préalable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de Valdelia et des structures de l’ESS conventionnées.</w:t>
      </w:r>
    </w:p>
    <w:p w:rsidR="007347D6" w:rsidRDefault="007347D6" w:rsidP="007347D6">
      <w:pPr>
        <w:pStyle w:val="Paragraphedeliste"/>
        <w:numPr>
          <w:ilvl w:val="0"/>
          <w:numId w:val="20"/>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La zone « ESS » ne pourra être activée</w:t>
      </w:r>
      <w:r w:rsidRPr="00077BC5">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si le gestionnaire du PAV est déjà une structure</w:t>
      </w:r>
      <w:r>
        <w:rPr>
          <w:rFonts w:ascii="ITCAvantGardeStd-Bk" w:hAnsi="ITCAvantGardeStd-Bk" w:cs="ITCAvantGardeStd-Bk"/>
          <w:color w:val="585757"/>
          <w:sz w:val="20"/>
          <w:szCs w:val="20"/>
        </w:rPr>
        <w:t xml:space="preserve"> </w:t>
      </w:r>
      <w:r w:rsidRPr="00306FFD">
        <w:rPr>
          <w:rFonts w:ascii="ITCAvantGardeStd-Bk" w:hAnsi="ITCAvantGardeStd-Bk" w:cs="ITCAvantGardeStd-Bk"/>
          <w:color w:val="585757"/>
          <w:sz w:val="20"/>
          <w:szCs w:val="20"/>
        </w:rPr>
        <w:t>de l’ESS.</w:t>
      </w:r>
      <w:r w:rsidRPr="00077BC5">
        <w:rPr>
          <w:rFonts w:ascii="ITCAvantGardeStd-Bk" w:hAnsi="ITCAvantGardeStd-Bk" w:cs="ITCAvantGardeStd-Bk"/>
          <w:color w:val="585757"/>
          <w:sz w:val="20"/>
          <w:szCs w:val="20"/>
        </w:rPr>
        <w:t xml:space="preserve"> </w:t>
      </w:r>
    </w:p>
    <w:p w:rsidR="007347D6" w:rsidRDefault="007347D6" w:rsidP="007347D6">
      <w:pPr>
        <w:pStyle w:val="Paragraphedeliste"/>
        <w:numPr>
          <w:ilvl w:val="0"/>
          <w:numId w:val="20"/>
        </w:numPr>
        <w:autoSpaceDE w:val="0"/>
        <w:autoSpaceDN w:val="0"/>
        <w:adjustRightInd w:val="0"/>
        <w:spacing w:after="0" w:line="240" w:lineRule="auto"/>
        <w:rPr>
          <w:rFonts w:ascii="ITCAvantGardeStd-Bk" w:hAnsi="ITCAvantGardeStd-Bk" w:cs="ITCAvantGardeStd-Bk"/>
          <w:color w:val="585757"/>
          <w:sz w:val="20"/>
          <w:szCs w:val="20"/>
        </w:rPr>
      </w:pPr>
      <w:r w:rsidRPr="00646603">
        <w:rPr>
          <w:rFonts w:ascii="ITCAvantGardeStd-Bk" w:hAnsi="ITCAvantGardeStd-Bk" w:cs="ITCAvantGardeStd-Bk"/>
          <w:color w:val="585757"/>
          <w:sz w:val="20"/>
          <w:szCs w:val="20"/>
        </w:rPr>
        <w:t>Mettre à disposition les DEA conformément à la demande de l’ESS souhaitant effectuer</w:t>
      </w:r>
      <w:r>
        <w:rPr>
          <w:rFonts w:ascii="ITCAvantGardeStd-Bk" w:hAnsi="ITCAvantGardeStd-Bk" w:cs="ITCAvantGardeStd-Bk"/>
          <w:color w:val="585757"/>
          <w:sz w:val="20"/>
          <w:szCs w:val="20"/>
        </w:rPr>
        <w:t xml:space="preserve"> </w:t>
      </w:r>
      <w:r w:rsidRPr="00646603">
        <w:rPr>
          <w:rFonts w:ascii="ITCAvantGardeStd-Bk" w:hAnsi="ITCAvantGardeStd-Bk" w:cs="ITCAvantGardeStd-Bk"/>
          <w:color w:val="585757"/>
          <w:sz w:val="20"/>
          <w:szCs w:val="20"/>
        </w:rPr>
        <w:t>des opérations de prélèvement.</w:t>
      </w:r>
    </w:p>
    <w:p w:rsidR="007347D6" w:rsidRPr="00306FFD" w:rsidRDefault="007347D6" w:rsidP="007347D6">
      <w:pPr>
        <w:pStyle w:val="Paragraphedeliste"/>
        <w:numPr>
          <w:ilvl w:val="0"/>
          <w:numId w:val="20"/>
        </w:num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Assurer un comptage des DEA professionnels ayant fait l’objet d’un prélèvement.</w:t>
      </w:r>
    </w:p>
    <w:p w:rsidR="007347D6" w:rsidRPr="00306FFD" w:rsidRDefault="007347D6" w:rsidP="007347D6">
      <w:pPr>
        <w:pStyle w:val="Paragraphedeliste"/>
        <w:numPr>
          <w:ilvl w:val="0"/>
          <w:numId w:val="20"/>
        </w:numPr>
        <w:autoSpaceDE w:val="0"/>
        <w:autoSpaceDN w:val="0"/>
        <w:adjustRightInd w:val="0"/>
        <w:spacing w:after="0" w:line="240" w:lineRule="auto"/>
        <w:rPr>
          <w:rFonts w:ascii="ITCAvantGardeStd-Bk" w:hAnsi="ITCAvantGardeStd-Bk" w:cs="ITCAvantGardeStd-Bk"/>
          <w:color w:val="585757"/>
          <w:sz w:val="20"/>
          <w:szCs w:val="20"/>
        </w:rPr>
      </w:pPr>
      <w:r w:rsidRPr="00C933D6">
        <w:rPr>
          <w:rFonts w:ascii="ITCAvantGardeStd-Bk" w:hAnsi="ITCAvantGardeStd-Bk" w:cs="ITCAvantGardeStd-Bk"/>
          <w:color w:val="585757"/>
          <w:sz w:val="20"/>
          <w:szCs w:val="20"/>
        </w:rPr>
        <w:t>Conserver dans un registre dédié : l’attestation de prélèvement renseignée par l’ESS, tamponnée et visée par vos soins.</w:t>
      </w:r>
    </w:p>
    <w:p w:rsidR="007347D6" w:rsidRDefault="007347D6" w:rsidP="007347D6">
      <w:pPr>
        <w:rPr>
          <w:rFonts w:ascii="ITCAvantGardeStd-Bk" w:hAnsi="ITCAvantGardeStd-Bk" w:cs="ITCAvantGardeStd-Bk"/>
          <w:color w:val="585757"/>
          <w:sz w:val="20"/>
          <w:szCs w:val="20"/>
        </w:rPr>
      </w:pPr>
    </w:p>
    <w:p w:rsidR="007347D6" w:rsidRDefault="007347D6" w:rsidP="007347D6">
      <w:pPr>
        <w:rPr>
          <w:rFonts w:ascii="ITCAvantGardeStd-Bk" w:hAnsi="ITCAvantGardeStd-Bk" w:cs="ITCAvantGardeStd-Bk"/>
          <w:color w:val="585757"/>
          <w:sz w:val="20"/>
          <w:szCs w:val="20"/>
        </w:rPr>
      </w:pPr>
      <w:r>
        <w:rPr>
          <w:rFonts w:ascii="ITCAvantGardeStd-Bk" w:hAnsi="ITCAvantGardeStd-Bk" w:cs="ITCAvantGardeStd-Bk"/>
          <w:color w:val="585757"/>
          <w:sz w:val="20"/>
          <w:szCs w:val="20"/>
        </w:rPr>
        <w:t>Le candidat souhaitant avoir une zone ESS dédiée pourra donner un prix au m2 pour une zone de 15m2 ainsi qu’un tarif à la tonne sortante via les partenaires de l’ESS.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1B6E6E"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7</w:t>
      </w:r>
      <w:r w:rsidR="007347D6">
        <w:rPr>
          <w:rFonts w:ascii="ITCAvantGardeStd-Demi" w:hAnsi="ITCAvantGardeStd-Demi" w:cs="ITCAvantGardeStd-Demi"/>
          <w:color w:val="4D6273"/>
          <w:sz w:val="48"/>
          <w:szCs w:val="48"/>
        </w:rPr>
        <w:t>. Traçabilité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traçabilité est un élément primordial pour Valdelia. Elle doit être complète du détenteur jusqu’à l’utilisateur final des Matières Premières Secondaires ou l’exutoire final des autres produits.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prestataire aura des opérations de traçabilité à réaliser à chaque étape clé de la collecte :</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Edition et renseignement du bon d’apport sur PAV.</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Demande d’enlèvement dans le système d’information de Valdelia,</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Signature de l’annexe 2 du BSD, 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Ces documents sont, selon les cas, à envoyer à Valdelia, à remettre au détenteur lors de la prise en charge des DEA professionnels, à remettre au collecteur au moment de l’enlèvement.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Les procédures actuelles de gestion et </w:t>
      </w:r>
      <w:r w:rsidR="00B1398D">
        <w:rPr>
          <w:rFonts w:ascii="ITCAvantGardeStd-Bk" w:hAnsi="ITCAvantGardeStd-Bk" w:cs="ITCAvantGardeStd-Bk"/>
          <w:color w:val="585757"/>
          <w:sz w:val="20"/>
          <w:szCs w:val="20"/>
        </w:rPr>
        <w:t>de suivi sont jointes en annexe 1</w:t>
      </w:r>
      <w:r>
        <w:rPr>
          <w:rFonts w:ascii="ITCAvantGardeStd-Bk" w:hAnsi="ITCAvantGardeStd-Bk" w:cs="ITCAvantGardeStd-Bk"/>
          <w:color w:val="585757"/>
          <w:sz w:val="20"/>
          <w:szCs w:val="20"/>
        </w:rPr>
        <w:t xml:space="preserve"> du présent document.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1B6E6E"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8</w:t>
      </w:r>
      <w:r w:rsidR="007347D6">
        <w:rPr>
          <w:rFonts w:ascii="ITCAvantGardeStd-Demi" w:hAnsi="ITCAvantGardeStd-Demi" w:cs="ITCAvantGardeStd-Demi"/>
          <w:color w:val="4D6273"/>
          <w:sz w:val="48"/>
          <w:szCs w:val="48"/>
        </w:rPr>
        <w:t>. Système d’Information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Accessible via une simple connexion internet et avec un matériel informatique léger, le Système d’Information (SI) de Valdelia sera le lieu d’échange de toutes les informations, données, etc. Toutes les opérations devront faire l’objet de saisie et/ou documentation sur le SI de Valdelia selon les procédures mises en place et diffusées à l’ensemble des prestataires de Valdelia. Tous les éléments de traçabilité devront être renseignés et garantiront la bonne exécution du marché.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Au moment de la première évacuation de DEA du PAV, le site se verra remettre un identifiant et un mot de passe pour accéder à son espace de demande d’enlèvement et sera également formé à l’utilisation du SI par une assistante opérations de Valdelia.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En cas d’évolution du SI de Valdelia, tous les prestataires seront formés au nouveau système et Valdelia s’assurera de la bonne diffusion des nouvelles procédures.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Dans tous les cas, seules les données, documents et éléments présents dans le SI de Valdelia font foi et permettent la facturation des prestations.</w:t>
      </w:r>
    </w:p>
    <w:p w:rsidR="007347D6" w:rsidRPr="00211FEC"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1B6E6E"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9</w:t>
      </w:r>
      <w:r w:rsidR="007347D6">
        <w:rPr>
          <w:rFonts w:ascii="ITCAvantGardeStd-Demi" w:hAnsi="ITCAvantGardeStd-Demi" w:cs="ITCAvantGardeStd-Demi"/>
          <w:color w:val="4D6273"/>
          <w:sz w:val="48"/>
          <w:szCs w:val="48"/>
        </w:rPr>
        <w:t>. Facturation</w:t>
      </w:r>
    </w:p>
    <w:p w:rsidR="007347D6" w:rsidRPr="00211FEC"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1B6E6E"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9</w:t>
      </w:r>
      <w:r w:rsidR="007347D6" w:rsidRPr="00144DC0">
        <w:rPr>
          <w:rFonts w:ascii="ITCAvantGardeStd-Bk" w:hAnsi="ITCAvantGardeStd-Bk" w:cs="ITCAvantGardeStd-Bk"/>
          <w:color w:val="90A3A5"/>
          <w:sz w:val="44"/>
          <w:szCs w:val="44"/>
        </w:rPr>
        <w:t>.1 Principe général</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volonté de Valdelia est de mettre en place une facturation permettant un règlement rapide des prestataires. Pour faciliter les échanges et limiter les litiges de facture, Valdelia émet des Bons À Facturer (BAF) et fera des propositions de facture au prestataire.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prestations seront facturées à la fin de chaque mois, par une seule et unique facture qui détaillera les opérations réalisées, renseignées dans le Système d’Information et validées par les services de Valdelia dans le mois.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conditions de règlements sont à 30 jours fin de mois suivant la date d’émission de la facture.</w:t>
      </w:r>
    </w:p>
    <w:p w:rsidR="007347D6" w:rsidRPr="00211FEC"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1B6E6E"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9</w:t>
      </w:r>
      <w:r w:rsidR="007347D6" w:rsidRPr="00144DC0">
        <w:rPr>
          <w:rFonts w:ascii="ITCAvantGardeStd-Bk" w:hAnsi="ITCAvantGardeStd-Bk" w:cs="ITCAvantGardeStd-Bk"/>
          <w:color w:val="90A3A5"/>
          <w:sz w:val="44"/>
          <w:szCs w:val="44"/>
        </w:rPr>
        <w:t>.2 Bon à facturer</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enverra au prestataire un BAF afin de signifier au prestataire les prestations réalisées, renseignées dans le Système d’Information et validées par les services internes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BAF validé par le prestataire sera l’élément justificatif de la facture et permettra la facturation des prestations mentionnées. Tout autre élément facturé sera rejeté.</w:t>
      </w:r>
    </w:p>
    <w:p w:rsidR="007347D6" w:rsidRPr="00211FEC"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144DC0" w:rsidRDefault="001B6E6E" w:rsidP="007347D6">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9</w:t>
      </w:r>
      <w:r w:rsidR="007347D6" w:rsidRPr="00144DC0">
        <w:rPr>
          <w:rFonts w:ascii="ITCAvantGardeStd-Bk" w:hAnsi="ITCAvantGardeStd-Bk" w:cs="ITCAvantGardeStd-Bk"/>
          <w:color w:val="90A3A5"/>
          <w:sz w:val="44"/>
          <w:szCs w:val="44"/>
        </w:rPr>
        <w:t>.3 Propositions de facture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Une fois le BAF validé, Valdelia éditera une proposition de facture qui reprendra les éléments d’exploitation complétés et les éléments financiers remis par le prestataire au moment de la réponse à l’appel</w:t>
      </w:r>
      <w:r w:rsidR="00402C12">
        <w:rPr>
          <w:rFonts w:ascii="ITCAvantGardeStd-Bk" w:hAnsi="ITCAvantGardeStd-Bk" w:cs="ITCAvantGardeStd-Bk"/>
          <w:color w:val="585757"/>
          <w:sz w:val="20"/>
          <w:szCs w:val="20"/>
        </w:rPr>
        <w:t xml:space="preserve"> à candidature</w:t>
      </w:r>
      <w:r>
        <w:rPr>
          <w:rFonts w:ascii="ITCAvantGardeStd-Bk" w:hAnsi="ITCAvantGardeStd-Bk" w:cs="ITCAvantGardeStd-Bk"/>
          <w:color w:val="585757"/>
          <w:sz w:val="20"/>
          <w:szCs w:val="20"/>
        </w:rPr>
        <w: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Le prestataire pourra ensuite envoyer la facture à Valdelia.</w:t>
      </w:r>
    </w:p>
    <w:p w:rsidR="007347D6" w:rsidRPr="00211FEC"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1B6E6E" w:rsidP="007347D6">
      <w:pPr>
        <w:autoSpaceDE w:val="0"/>
        <w:autoSpaceDN w:val="0"/>
        <w:adjustRightInd w:val="0"/>
        <w:spacing w:after="0" w:line="240" w:lineRule="auto"/>
        <w:jc w:val="both"/>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10</w:t>
      </w:r>
      <w:r w:rsidR="007347D6">
        <w:rPr>
          <w:rFonts w:ascii="ITCAvantGardeStd-Demi" w:hAnsi="ITCAvantGardeStd-Demi" w:cs="ITCAvantGardeStd-Demi"/>
          <w:color w:val="4D6273"/>
          <w:sz w:val="48"/>
          <w:szCs w:val="48"/>
        </w:rPr>
        <w:t>. Prix</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Toutes les cotations données par le prestataire sont valables indépendamment les unes des autres.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Par conséquent, le prix proposé pour un </w:t>
      </w:r>
      <w:r w:rsidR="003E524D">
        <w:rPr>
          <w:rFonts w:ascii="ITCAvantGardeStd-Bk" w:hAnsi="ITCAvantGardeStd-Bk" w:cs="ITCAvantGardeStd-Bk"/>
          <w:color w:val="585757"/>
          <w:sz w:val="20"/>
          <w:szCs w:val="20"/>
        </w:rPr>
        <w:t>site candidat</w:t>
      </w:r>
      <w:r>
        <w:rPr>
          <w:rFonts w:ascii="ITCAvantGardeStd-Bk" w:hAnsi="ITCAvantGardeStd-Bk" w:cs="ITCAvantGardeStd-Bk"/>
          <w:color w:val="585757"/>
          <w:sz w:val="20"/>
          <w:szCs w:val="20"/>
        </w:rPr>
        <w:t xml:space="preserve"> ne s’applique que pour ce marché et </w:t>
      </w:r>
      <w:r w:rsidR="003E524D">
        <w:rPr>
          <w:rFonts w:ascii="ITCAvantGardeStd-Bk" w:hAnsi="ITCAvantGardeStd-Bk" w:cs="ITCAvantGardeStd-Bk"/>
          <w:color w:val="585757"/>
          <w:sz w:val="20"/>
          <w:szCs w:val="20"/>
        </w:rPr>
        <w:t>ce site candidat.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L’ensemble des éléments financier</w:t>
      </w:r>
      <w:r w:rsidR="00F304FC">
        <w:rPr>
          <w:rFonts w:ascii="ITCAvantGardeStd-Bk" w:hAnsi="ITCAvantGardeStd-Bk" w:cs="ITCAvantGardeStd-Bk"/>
          <w:color w:val="585757"/>
          <w:sz w:val="20"/>
          <w:szCs w:val="20"/>
        </w:rPr>
        <w:t>s</w:t>
      </w:r>
      <w:r>
        <w:rPr>
          <w:rFonts w:ascii="ITCAvantGardeStd-Bk" w:hAnsi="ITCAvantGardeStd-Bk" w:cs="ITCAvantGardeStd-Bk"/>
          <w:color w:val="585757"/>
          <w:sz w:val="20"/>
          <w:szCs w:val="20"/>
        </w:rPr>
        <w:t xml:space="preserve"> sera composé pour le marché </w:t>
      </w:r>
      <w:r w:rsidR="003E524D">
        <w:rPr>
          <w:rFonts w:ascii="ITCAvantGardeStd-Bk" w:hAnsi="ITCAvantGardeStd-Bk" w:cs="ITCAvantGardeStd-Bk"/>
          <w:color w:val="585757"/>
          <w:sz w:val="20"/>
          <w:szCs w:val="20"/>
        </w:rPr>
        <w:t>PAV</w:t>
      </w:r>
      <w:r>
        <w:rPr>
          <w:rFonts w:ascii="ITCAvantGardeStd-Bk" w:hAnsi="ITCAvantGardeStd-Bk" w:cs="ITCAvantGardeStd-Bk"/>
          <w:color w:val="585757"/>
          <w:sz w:val="20"/>
          <w:szCs w:val="20"/>
        </w:rPr>
        <w:t xml:space="preserve">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3E524D" w:rsidRDefault="007347D6" w:rsidP="003E524D">
      <w:pPr>
        <w:pStyle w:val="Paragraphedeliste"/>
        <w:numPr>
          <w:ilvl w:val="0"/>
          <w:numId w:val="22"/>
        </w:numPr>
        <w:autoSpaceDE w:val="0"/>
        <w:autoSpaceDN w:val="0"/>
        <w:adjustRightInd w:val="0"/>
        <w:spacing w:after="0" w:line="240" w:lineRule="auto"/>
        <w:jc w:val="both"/>
        <w:rPr>
          <w:rFonts w:ascii="ITCAvantGardeStd-Bk" w:hAnsi="ITCAvantGardeStd-Bk" w:cs="ITCAvantGardeStd-Bk"/>
          <w:color w:val="585757"/>
          <w:sz w:val="20"/>
          <w:szCs w:val="20"/>
        </w:rPr>
      </w:pPr>
      <w:r w:rsidRPr="003E524D">
        <w:rPr>
          <w:rFonts w:ascii="ITCAvantGardeStd-Bk" w:hAnsi="ITCAvantGardeStd-Bk" w:cs="ITCAvantGardeStd-Bk"/>
          <w:color w:val="585757"/>
          <w:sz w:val="20"/>
          <w:szCs w:val="20"/>
        </w:rPr>
        <w:t xml:space="preserve">De prix pour </w:t>
      </w:r>
      <w:r w:rsidR="003E524D" w:rsidRPr="003E524D">
        <w:rPr>
          <w:rFonts w:ascii="ITCAvantGardeStd-Bk" w:hAnsi="ITCAvantGardeStd-Bk" w:cs="ITCAvantGardeStd-Bk"/>
          <w:color w:val="585757"/>
          <w:sz w:val="20"/>
          <w:szCs w:val="20"/>
        </w:rPr>
        <w:t>la zone Valdelia allouée de 15m2 avec benne ou 30m2 sans benne (en €/m2)</w:t>
      </w:r>
      <w:r w:rsidRPr="003E524D">
        <w:rPr>
          <w:rFonts w:ascii="ITCAvantGardeStd-Bk" w:hAnsi="ITCAvantGardeStd-Bk" w:cs="ITCAvantGardeStd-Bk"/>
          <w:color w:val="585757"/>
          <w:sz w:val="20"/>
          <w:szCs w:val="20"/>
        </w:rPr>
        <w:t> ;</w:t>
      </w:r>
    </w:p>
    <w:p w:rsidR="007347D6" w:rsidRPr="003E524D" w:rsidRDefault="007347D6" w:rsidP="003E524D">
      <w:pPr>
        <w:pStyle w:val="Paragraphedeliste"/>
        <w:numPr>
          <w:ilvl w:val="0"/>
          <w:numId w:val="22"/>
        </w:numPr>
        <w:autoSpaceDE w:val="0"/>
        <w:autoSpaceDN w:val="0"/>
        <w:adjustRightInd w:val="0"/>
        <w:spacing w:after="0" w:line="240" w:lineRule="auto"/>
        <w:jc w:val="both"/>
        <w:rPr>
          <w:rFonts w:ascii="ITCAvantGardeStd-Bk" w:hAnsi="ITCAvantGardeStd-Bk" w:cs="ITCAvantGardeStd-Bk"/>
          <w:color w:val="585757"/>
          <w:sz w:val="20"/>
          <w:szCs w:val="20"/>
        </w:rPr>
      </w:pPr>
      <w:r w:rsidRPr="003E524D">
        <w:rPr>
          <w:rFonts w:ascii="ITCAvantGardeStd-Bk" w:hAnsi="ITCAvantGardeStd-Bk" w:cs="ITCAvantGardeStd-Bk"/>
          <w:color w:val="585757"/>
          <w:sz w:val="20"/>
          <w:szCs w:val="20"/>
        </w:rPr>
        <w:t xml:space="preserve">De prix pour </w:t>
      </w:r>
      <w:r w:rsidR="003E524D" w:rsidRPr="003E524D">
        <w:rPr>
          <w:rFonts w:ascii="ITCAvantGardeStd-Bk" w:hAnsi="ITCAvantGardeStd-Bk" w:cs="ITCAvantGardeStd-Bk"/>
          <w:color w:val="585757"/>
          <w:sz w:val="20"/>
          <w:szCs w:val="20"/>
        </w:rPr>
        <w:t>les tonnes évacuées vers le centre de traitement</w:t>
      </w:r>
      <w:r w:rsidRPr="003E524D">
        <w:rPr>
          <w:rFonts w:ascii="ITCAvantGardeStd-Bk" w:hAnsi="ITCAvantGardeStd-Bk" w:cs="ITCAvantGardeStd-Bk"/>
          <w:color w:val="585757"/>
          <w:sz w:val="20"/>
          <w:szCs w:val="20"/>
        </w:rPr>
        <w:t>;</w:t>
      </w:r>
    </w:p>
    <w:p w:rsidR="003E524D" w:rsidRPr="003E524D" w:rsidRDefault="003E524D" w:rsidP="003E524D">
      <w:pPr>
        <w:pStyle w:val="Paragraphedeliste"/>
        <w:numPr>
          <w:ilvl w:val="0"/>
          <w:numId w:val="22"/>
        </w:numPr>
        <w:autoSpaceDE w:val="0"/>
        <w:autoSpaceDN w:val="0"/>
        <w:adjustRightInd w:val="0"/>
        <w:spacing w:after="0" w:line="240" w:lineRule="auto"/>
        <w:jc w:val="both"/>
        <w:rPr>
          <w:rFonts w:ascii="ITCAvantGardeStd-Bk" w:hAnsi="ITCAvantGardeStd-Bk" w:cs="ITCAvantGardeStd-Bk"/>
          <w:color w:val="585757"/>
          <w:sz w:val="20"/>
          <w:szCs w:val="20"/>
        </w:rPr>
      </w:pPr>
      <w:r w:rsidRPr="003E524D">
        <w:rPr>
          <w:rFonts w:ascii="ITCAvantGardeStd-Bk" w:hAnsi="ITCAvantGardeStd-Bk" w:cs="ITCAvantGardeStd-Bk"/>
          <w:color w:val="585757"/>
          <w:sz w:val="20"/>
          <w:szCs w:val="20"/>
        </w:rPr>
        <w:t>De prix pour les tonnes évacuées vers les ESS partenaires pour les PAV non ESS et dont la zone ESS est activée.</w:t>
      </w:r>
    </w:p>
    <w:p w:rsidR="007347D6" w:rsidRDefault="007347D6" w:rsidP="00F304FC">
      <w:pPr>
        <w:pStyle w:val="Paragraphedeliste"/>
        <w:autoSpaceDE w:val="0"/>
        <w:autoSpaceDN w:val="0"/>
        <w:adjustRightInd w:val="0"/>
        <w:spacing w:after="0" w:line="240" w:lineRule="auto"/>
        <w:ind w:left="0"/>
        <w:jc w:val="both"/>
        <w:rPr>
          <w:rFonts w:ascii="ITCAvantGardeStd-Bk" w:hAnsi="ITCAvantGardeStd-Bk" w:cs="ITCAvantGardeStd-Bk"/>
          <w:color w:val="585757"/>
          <w:sz w:val="20"/>
          <w:szCs w:val="20"/>
        </w:rPr>
      </w:pPr>
    </w:p>
    <w:p w:rsidR="00F304FC" w:rsidRPr="003E524D" w:rsidRDefault="00F304FC" w:rsidP="00F304FC">
      <w:pPr>
        <w:pStyle w:val="Paragraphedeliste"/>
        <w:autoSpaceDE w:val="0"/>
        <w:autoSpaceDN w:val="0"/>
        <w:adjustRightInd w:val="0"/>
        <w:spacing w:after="0" w:line="240" w:lineRule="auto"/>
        <w:ind w:left="0"/>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Ce barème de prix sera complété </w:t>
      </w:r>
      <w:r w:rsidR="00E71A74">
        <w:rPr>
          <w:rFonts w:ascii="ITCAvantGardeStd-Bk" w:hAnsi="ITCAvantGardeStd-Bk" w:cs="ITCAvantGardeStd-Bk"/>
          <w:color w:val="585757"/>
          <w:sz w:val="20"/>
          <w:szCs w:val="20"/>
        </w:rPr>
        <w:t xml:space="preserve">annuellement </w:t>
      </w:r>
      <w:r>
        <w:rPr>
          <w:rFonts w:ascii="ITCAvantGardeStd-Bk" w:hAnsi="ITCAvantGardeStd-Bk" w:cs="ITCAvantGardeStd-Bk"/>
          <w:color w:val="585757"/>
          <w:sz w:val="20"/>
          <w:szCs w:val="20"/>
        </w:rPr>
        <w:t>par Valdelia par des primes/soutiens détaillés ci-dessous :</w:t>
      </w:r>
    </w:p>
    <w:p w:rsidR="003E524D" w:rsidRDefault="003E524D" w:rsidP="003E524D">
      <w:pPr>
        <w:pStyle w:val="Paragraphedeliste"/>
        <w:numPr>
          <w:ilvl w:val="0"/>
          <w:numId w:val="24"/>
        </w:numPr>
        <w:autoSpaceDE w:val="0"/>
        <w:autoSpaceDN w:val="0"/>
        <w:adjustRightInd w:val="0"/>
        <w:spacing w:after="0" w:line="240" w:lineRule="auto"/>
        <w:jc w:val="both"/>
        <w:rPr>
          <w:rFonts w:ascii="ITCAvantGardeStd-Bk" w:hAnsi="ITCAvantGardeStd-Bk" w:cs="ITCAvantGardeStd-Bk"/>
          <w:color w:val="585757"/>
          <w:sz w:val="20"/>
          <w:szCs w:val="20"/>
        </w:rPr>
      </w:pPr>
      <w:r w:rsidRPr="003E524D">
        <w:rPr>
          <w:rFonts w:ascii="ITCAvantGardeStd-Bk" w:hAnsi="ITCAvantGardeStd-Bk" w:cs="ITCAvantGardeStd-Bk"/>
          <w:color w:val="585757"/>
          <w:sz w:val="20"/>
          <w:szCs w:val="20"/>
        </w:rPr>
        <w:t>D’un soutien à la communication apporté par site et sur la base de justificatifs :</w:t>
      </w:r>
    </w:p>
    <w:p w:rsidR="003E524D" w:rsidRDefault="003E524D" w:rsidP="003E524D">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600 €/an pour la mise en place du kit de communication Valdelia. Justificatif : photos de la mise en place du kit à envoyer un mois après le démarrage du contrat et à renvoyer tous les ans.</w:t>
      </w:r>
    </w:p>
    <w:p w:rsidR="003E524D" w:rsidRDefault="003E524D" w:rsidP="003E524D">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0,50 €/entreprise contactée via newsletter, envoi fiches de communication, etc…Justificatif : liste des entreprises contactées avec adresse et exemplaire de l’outil de communication (article de journal, newsletter, etc…).</w:t>
      </w:r>
    </w:p>
    <w:p w:rsidR="00F304FC" w:rsidRDefault="00F304FC" w:rsidP="00F304FC">
      <w:pPr>
        <w:pStyle w:val="Paragraphedeliste"/>
        <w:numPr>
          <w:ilvl w:val="0"/>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D’une prime </w:t>
      </w:r>
      <w:r w:rsidR="00E71A74">
        <w:rPr>
          <w:rFonts w:ascii="ITCAvantGardeStd-Bk" w:hAnsi="ITCAvantGardeStd-Bk" w:cs="ITCAvantGardeStd-Bk"/>
          <w:color w:val="585757"/>
          <w:sz w:val="20"/>
          <w:szCs w:val="20"/>
        </w:rPr>
        <w:t xml:space="preserve">annuelle </w:t>
      </w:r>
      <w:r>
        <w:rPr>
          <w:rFonts w:ascii="ITCAvantGardeStd-Bk" w:hAnsi="ITCAvantGardeStd-Bk" w:cs="ITCAvantGardeStd-Bk"/>
          <w:color w:val="585757"/>
          <w:sz w:val="20"/>
          <w:szCs w:val="20"/>
        </w:rPr>
        <w:t xml:space="preserve">à la tonne évacuée : </w:t>
      </w:r>
    </w:p>
    <w:p w:rsidR="00F304FC" w:rsidRDefault="00F304FC" w:rsidP="00F304FC">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Tonnage évacué supérieur à 11 tonnes : </w:t>
      </w:r>
      <w:r w:rsidR="00E71A74">
        <w:rPr>
          <w:rFonts w:ascii="ITCAvantGardeStd-Bk" w:hAnsi="ITCAvantGardeStd-Bk" w:cs="ITCAvantGardeStd-Bk"/>
          <w:color w:val="585757"/>
          <w:sz w:val="20"/>
          <w:szCs w:val="20"/>
        </w:rPr>
        <w:t>prime de 10% du prix de chargement sur les tonnages supérieurs à 11 tonnes</w:t>
      </w:r>
    </w:p>
    <w:p w:rsidR="00E71A74" w:rsidRDefault="00E71A74" w:rsidP="00E71A74">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Tonnage évacué supérieur à 21 tonnes : prime de 20% du prix de chargement sur les tonnages supérieurs à 21 tonnes</w:t>
      </w:r>
    </w:p>
    <w:p w:rsidR="00E71A74" w:rsidRDefault="00E71A74" w:rsidP="00E71A74">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Tonnage évacué supérieur à 51 tonnes : prime de 30% du prix de chargement sur les tonnages supérieurs à 51 tonnes</w:t>
      </w:r>
    </w:p>
    <w:p w:rsidR="00E71A74" w:rsidRDefault="00E71A74" w:rsidP="00E71A74">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Tonnage évacué supérieur à 101 tonnes : prime de 40% du prix de chargement sur les tonnages supérieurs à 101 tonnes</w:t>
      </w:r>
    </w:p>
    <w:p w:rsidR="00E71A74" w:rsidRDefault="00E71A74" w:rsidP="00E71A74">
      <w:pPr>
        <w:pStyle w:val="Paragraphedeliste"/>
        <w:numPr>
          <w:ilvl w:val="0"/>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D’une prime annuelle au taux de chargement des bennes</w:t>
      </w:r>
    </w:p>
    <w:p w:rsidR="00E71A74" w:rsidRPr="00E71A74" w:rsidRDefault="00E71A74" w:rsidP="00E71A74">
      <w:pPr>
        <w:pStyle w:val="Paragraphedeliste"/>
        <w:numPr>
          <w:ilvl w:val="1"/>
          <w:numId w:val="24"/>
        </w:num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Si 90% des bennes évacuées ont un poids supérieur à 3 tonnes, une prime de 10€/benne de plus de 3 tonnes sera appliquée.</w:t>
      </w:r>
    </w:p>
    <w:p w:rsidR="003E524D" w:rsidRDefault="003E524D" w:rsidP="003E524D">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ab/>
      </w:r>
    </w:p>
    <w:p w:rsidR="007347D6" w:rsidRDefault="00331DAA"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Mensuellement, le prix facturé par le site sera constitué de la manière suivante :</w:t>
      </w:r>
    </w:p>
    <w:p w:rsidR="00331DAA" w:rsidRPr="00331DAA" w:rsidRDefault="00331DAA" w:rsidP="00331DAA">
      <w:pPr>
        <w:pStyle w:val="Paragraphedeliste"/>
        <w:numPr>
          <w:ilvl w:val="0"/>
          <w:numId w:val="26"/>
        </w:numPr>
        <w:autoSpaceDE w:val="0"/>
        <w:autoSpaceDN w:val="0"/>
        <w:adjustRightInd w:val="0"/>
        <w:spacing w:after="0" w:line="240" w:lineRule="auto"/>
        <w:rPr>
          <w:rFonts w:ascii="ITCAvantGardeStd-Bk" w:hAnsi="ITCAvantGardeStd-Bk" w:cs="ITCAvantGardeStd-Bk"/>
          <w:color w:val="585757"/>
          <w:sz w:val="20"/>
          <w:szCs w:val="20"/>
        </w:rPr>
      </w:pPr>
      <w:r w:rsidRPr="00331DAA">
        <w:rPr>
          <w:rFonts w:ascii="ITCAvantGardeStd-Bk" w:hAnsi="ITCAvantGardeStd-Bk" w:cs="ITCAvantGardeStd-Bk"/>
          <w:color w:val="585757"/>
          <w:sz w:val="20"/>
          <w:szCs w:val="20"/>
        </w:rPr>
        <w:t xml:space="preserve">Cout mensuel de la surface Valdelia : </w:t>
      </w:r>
      <w:r w:rsidRPr="00331DAA">
        <w:rPr>
          <w:rFonts w:ascii="ITCAvantGardeStd-BkObl" w:hAnsi="ITCAvantGardeStd-BkObl" w:cs="ITCAvantGardeStd-BkObl"/>
          <w:i/>
          <w:iCs/>
          <w:color w:val="585757"/>
          <w:sz w:val="20"/>
          <w:szCs w:val="20"/>
        </w:rPr>
        <w:t>X (15 ou 30) m² x [coût] €/m²</w:t>
      </w:r>
    </w:p>
    <w:p w:rsidR="00331DAA" w:rsidRPr="00331DAA" w:rsidRDefault="00331DAA" w:rsidP="00331DAA">
      <w:pPr>
        <w:pStyle w:val="Paragraphedeliste"/>
        <w:numPr>
          <w:ilvl w:val="0"/>
          <w:numId w:val="26"/>
        </w:numPr>
        <w:autoSpaceDE w:val="0"/>
        <w:autoSpaceDN w:val="0"/>
        <w:adjustRightInd w:val="0"/>
        <w:spacing w:after="0" w:line="240" w:lineRule="auto"/>
        <w:rPr>
          <w:rFonts w:ascii="ITCAvantGardeStd-BkObl" w:hAnsi="ITCAvantGardeStd-BkObl" w:cs="ITCAvantGardeStd-BkObl"/>
          <w:i/>
          <w:iCs/>
          <w:color w:val="585757"/>
          <w:sz w:val="20"/>
          <w:szCs w:val="20"/>
        </w:rPr>
      </w:pPr>
      <w:r w:rsidRPr="00331DAA">
        <w:rPr>
          <w:rFonts w:ascii="ITCAvantGardeStd-Bk" w:hAnsi="ITCAvantGardeStd-Bk" w:cs="ITCAvantGardeStd-Bk"/>
          <w:color w:val="585757"/>
          <w:sz w:val="20"/>
          <w:szCs w:val="20"/>
        </w:rPr>
        <w:t xml:space="preserve">Cout mensuel de la surface ESS, si cette surface est activée : </w:t>
      </w:r>
      <w:r w:rsidRPr="00331DAA">
        <w:rPr>
          <w:rFonts w:ascii="ITCAvantGardeStd-BkObl" w:hAnsi="ITCAvantGardeStd-BkObl" w:cs="ITCAvantGardeStd-BkObl"/>
          <w:i/>
          <w:iCs/>
          <w:color w:val="585757"/>
          <w:sz w:val="20"/>
          <w:szCs w:val="20"/>
        </w:rPr>
        <w:t>15 m² * [coût] €/m²</w:t>
      </w:r>
    </w:p>
    <w:p w:rsidR="00331DAA" w:rsidRPr="00331DAA" w:rsidRDefault="00331DAA" w:rsidP="00331DAA">
      <w:pPr>
        <w:pStyle w:val="Paragraphedeliste"/>
        <w:numPr>
          <w:ilvl w:val="0"/>
          <w:numId w:val="26"/>
        </w:numPr>
        <w:autoSpaceDE w:val="0"/>
        <w:autoSpaceDN w:val="0"/>
        <w:adjustRightInd w:val="0"/>
        <w:spacing w:after="0" w:line="240" w:lineRule="auto"/>
        <w:rPr>
          <w:rFonts w:ascii="ITCAvantGardeStd-BkObl" w:hAnsi="ITCAvantGardeStd-BkObl" w:cs="ITCAvantGardeStd-BkObl"/>
          <w:i/>
          <w:iCs/>
          <w:color w:val="585757"/>
          <w:sz w:val="20"/>
          <w:szCs w:val="20"/>
        </w:rPr>
      </w:pPr>
      <w:r w:rsidRPr="00331DAA">
        <w:rPr>
          <w:rFonts w:ascii="ITCAvantGardeStd-Bk" w:hAnsi="ITCAvantGardeStd-Bk" w:cs="ITCAvantGardeStd-Bk"/>
          <w:color w:val="585757"/>
          <w:sz w:val="20"/>
          <w:szCs w:val="20"/>
        </w:rPr>
        <w:t xml:space="preserve">Cout des DEA évacués vers le centre de traitement : </w:t>
      </w:r>
      <w:r w:rsidRPr="00331DAA">
        <w:rPr>
          <w:rFonts w:ascii="ITCAvantGardeStd-BkObl" w:hAnsi="ITCAvantGardeStd-BkObl" w:cs="ITCAvantGardeStd-BkObl"/>
          <w:i/>
          <w:iCs/>
          <w:color w:val="585757"/>
          <w:sz w:val="20"/>
          <w:szCs w:val="20"/>
        </w:rPr>
        <w:t>X t x [coût] €/t</w:t>
      </w:r>
    </w:p>
    <w:p w:rsidR="00331DAA" w:rsidRPr="00331DAA" w:rsidRDefault="00331DAA" w:rsidP="00331DAA">
      <w:pPr>
        <w:pStyle w:val="Paragraphedeliste"/>
        <w:numPr>
          <w:ilvl w:val="0"/>
          <w:numId w:val="26"/>
        </w:numPr>
        <w:autoSpaceDE w:val="0"/>
        <w:autoSpaceDN w:val="0"/>
        <w:adjustRightInd w:val="0"/>
        <w:spacing w:after="0" w:line="240" w:lineRule="auto"/>
        <w:rPr>
          <w:rFonts w:ascii="ITCAvantGardeStd-BkObl" w:hAnsi="ITCAvantGardeStd-BkObl" w:cs="ITCAvantGardeStd-BkObl"/>
          <w:i/>
          <w:iCs/>
          <w:color w:val="585757"/>
          <w:sz w:val="20"/>
          <w:szCs w:val="20"/>
        </w:rPr>
      </w:pPr>
      <w:r w:rsidRPr="00331DAA">
        <w:rPr>
          <w:rFonts w:ascii="ITCAvantGardeStd-Bk" w:hAnsi="ITCAvantGardeStd-Bk" w:cs="ITCAvantGardeStd-Bk"/>
          <w:color w:val="585757"/>
          <w:sz w:val="20"/>
          <w:szCs w:val="20"/>
        </w:rPr>
        <w:t xml:space="preserve">Cout des DEA évacués vers les ESS (pour PAV non ESS) : </w:t>
      </w:r>
      <w:r w:rsidRPr="00331DAA">
        <w:rPr>
          <w:rFonts w:ascii="ITCAvantGardeStd-BkObl" w:hAnsi="ITCAvantGardeStd-BkObl" w:cs="ITCAvantGardeStd-BkObl"/>
          <w:i/>
          <w:iCs/>
          <w:color w:val="585757"/>
          <w:sz w:val="20"/>
          <w:szCs w:val="20"/>
        </w:rPr>
        <w:t>X t x [coût] €/t</w:t>
      </w:r>
    </w:p>
    <w:p w:rsidR="00331DAA" w:rsidRDefault="00331DAA" w:rsidP="00331DAA">
      <w:pPr>
        <w:autoSpaceDE w:val="0"/>
        <w:autoSpaceDN w:val="0"/>
        <w:adjustRightInd w:val="0"/>
        <w:spacing w:after="0" w:line="240" w:lineRule="auto"/>
        <w:rPr>
          <w:rFonts w:ascii="ITCAvantGardeStd-Bk" w:hAnsi="ITCAvantGardeStd-Bk" w:cs="ITCAvantGardeStd-Bk"/>
          <w:color w:val="585757"/>
          <w:sz w:val="20"/>
          <w:szCs w:val="20"/>
        </w:rPr>
      </w:pPr>
    </w:p>
    <w:p w:rsidR="003E524D" w:rsidRDefault="00331DAA"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Annuellement, le soutien à la communication sera versé sur la base de justificatifs. </w:t>
      </w:r>
      <w:r w:rsidR="00E71A74">
        <w:rPr>
          <w:rFonts w:ascii="ITCAvantGardeStd-Bk" w:hAnsi="ITCAvantGardeStd-Bk" w:cs="ITCAvantGardeStd-Bk"/>
          <w:color w:val="585757"/>
          <w:sz w:val="20"/>
          <w:szCs w:val="20"/>
        </w:rPr>
        <w:t xml:space="preserve">Les primes au tonnage et au chargement des bennes seront </w:t>
      </w:r>
      <w:r w:rsidR="006A7BC6">
        <w:rPr>
          <w:rFonts w:ascii="ITCAvantGardeStd-Bk" w:hAnsi="ITCAvantGardeStd-Bk" w:cs="ITCAvantGardeStd-Bk"/>
          <w:color w:val="585757"/>
          <w:sz w:val="20"/>
          <w:szCs w:val="20"/>
        </w:rPr>
        <w:t xml:space="preserve">également </w:t>
      </w:r>
      <w:r w:rsidR="00E71A74">
        <w:rPr>
          <w:rFonts w:ascii="ITCAvantGardeStd-Bk" w:hAnsi="ITCAvantGardeStd-Bk" w:cs="ITCAvantGardeStd-Bk"/>
          <w:color w:val="585757"/>
          <w:sz w:val="20"/>
          <w:szCs w:val="20"/>
        </w:rPr>
        <w:t>versées annuellement.</w:t>
      </w:r>
    </w:p>
    <w:p w:rsidR="00331DAA" w:rsidRDefault="00331DAA"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L’ensemble des éléments de prix demandés est détaillé dans le bordereau de prix.</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10</w:t>
      </w:r>
      <w:r w:rsidR="007347D6" w:rsidRPr="00144DC0">
        <w:rPr>
          <w:rFonts w:ascii="ITCAvantGardeStd-Bk" w:hAnsi="ITCAvantGardeStd-Bk" w:cs="ITCAvantGardeStd-Bk"/>
          <w:color w:val="90A3A5"/>
          <w:sz w:val="44"/>
          <w:szCs w:val="44"/>
        </w:rPr>
        <w:t>.1 Bordereaux de prix</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 candidat complétera le bordereau de prix au </w:t>
      </w:r>
      <w:r w:rsidR="006A7BC6">
        <w:rPr>
          <w:rFonts w:ascii="ITCAvantGardeStd-Bk" w:hAnsi="ITCAvantGardeStd-Bk" w:cs="ITCAvantGardeStd-Bk"/>
          <w:color w:val="585757"/>
          <w:sz w:val="20"/>
          <w:szCs w:val="20"/>
        </w:rPr>
        <w:t>format Excel fournit en annexe 2</w:t>
      </w:r>
      <w:r>
        <w:rPr>
          <w:rFonts w:ascii="ITCAvantGardeStd-Bk" w:hAnsi="ITCAvantGardeStd-Bk" w:cs="ITCAvantGardeStd-Bk"/>
          <w:color w:val="585757"/>
          <w:sz w:val="20"/>
          <w:szCs w:val="20"/>
        </w:rPr>
        <w:t xml:space="preserve"> du présent document. Aucune modification de la structure du document ne sera prise en compte.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F49118"/>
          <w:sz w:val="20"/>
          <w:szCs w:val="20"/>
        </w:rPr>
      </w:pPr>
      <w:r>
        <w:rPr>
          <w:rFonts w:ascii="ITCAvantGardeStd-Bk" w:hAnsi="ITCAvantGardeStd-Bk" w:cs="ITCAvantGardeStd-Bk"/>
          <w:color w:val="F49118"/>
          <w:sz w:val="20"/>
          <w:szCs w:val="20"/>
        </w:rPr>
        <w:t>Rappelons que toute cotation incomplète ou de format non conforme à la demande de Valdelia entrainera le rejet du dossier de candidature.</w:t>
      </w:r>
    </w:p>
    <w:p w:rsidR="007347D6" w:rsidRPr="00E94FC3" w:rsidRDefault="007347D6" w:rsidP="007347D6">
      <w:pPr>
        <w:autoSpaceDE w:val="0"/>
        <w:autoSpaceDN w:val="0"/>
        <w:adjustRightInd w:val="0"/>
        <w:spacing w:after="0" w:line="240" w:lineRule="auto"/>
        <w:rPr>
          <w:rFonts w:ascii="ITCAvantGardeStd-Bk" w:hAnsi="ITCAvantGardeStd-Bk" w:cs="ITCAvantGardeStd-Bk"/>
          <w:color w:val="F49118"/>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lastRenderedPageBreak/>
        <w:t>10</w:t>
      </w:r>
      <w:r w:rsidR="007347D6" w:rsidRPr="00144DC0">
        <w:rPr>
          <w:rFonts w:ascii="ITCAvantGardeStd-Bk" w:hAnsi="ITCAvantGardeStd-Bk" w:cs="ITCAvantGardeStd-Bk"/>
          <w:color w:val="90A3A5"/>
          <w:sz w:val="44"/>
          <w:szCs w:val="44"/>
        </w:rPr>
        <w:t>.2 Confidentialité et validité de la cotation</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Tous les documents et info</w:t>
      </w:r>
      <w:r w:rsidR="00904097">
        <w:rPr>
          <w:rFonts w:ascii="ITCAvantGardeStd-Bk" w:hAnsi="ITCAvantGardeStd-Bk" w:cs="ITCAvantGardeStd-Bk"/>
          <w:color w:val="585757"/>
          <w:sz w:val="20"/>
          <w:szCs w:val="20"/>
        </w:rPr>
        <w:t>rmations inclus dans cet appel à candidature</w:t>
      </w:r>
      <w:r>
        <w:rPr>
          <w:rFonts w:ascii="ITCAvantGardeStd-Bk" w:hAnsi="ITCAvantGardeStd-Bk" w:cs="ITCAvantGardeStd-Bk"/>
          <w:color w:val="585757"/>
          <w:sz w:val="20"/>
          <w:szCs w:val="20"/>
        </w:rPr>
        <w:t xml:space="preserve"> ou en relation avec cet appel </w:t>
      </w:r>
      <w:r w:rsidR="00904097">
        <w:rPr>
          <w:rFonts w:ascii="ITCAvantGardeStd-Bk" w:hAnsi="ITCAvantGardeStd-Bk" w:cs="ITCAvantGardeStd-Bk"/>
          <w:color w:val="585757"/>
          <w:sz w:val="20"/>
          <w:szCs w:val="20"/>
        </w:rPr>
        <w:t>à candidature</w:t>
      </w:r>
      <w:r>
        <w:rPr>
          <w:rFonts w:ascii="ITCAvantGardeStd-Bk" w:hAnsi="ITCAvantGardeStd-Bk" w:cs="ITCAvantGardeStd-Bk"/>
          <w:color w:val="585757"/>
          <w:sz w:val="20"/>
          <w:szCs w:val="20"/>
        </w:rPr>
        <w:t xml:space="preserve"> ainsi que toutes les informations supplémentaires qui pourraient être livrées pendant le processus de sélection sont confidentielles et resteront la propriété de Valdelia. Les documents de l’appel </w:t>
      </w:r>
      <w:r w:rsidR="00904097">
        <w:rPr>
          <w:rFonts w:ascii="ITCAvantGardeStd-Bk" w:hAnsi="ITCAvantGardeStd-Bk" w:cs="ITCAvantGardeStd-Bk"/>
          <w:color w:val="585757"/>
          <w:sz w:val="20"/>
          <w:szCs w:val="20"/>
        </w:rPr>
        <w:t xml:space="preserve">à candidature </w:t>
      </w:r>
      <w:r>
        <w:rPr>
          <w:rFonts w:ascii="ITCAvantGardeStd-Bk" w:hAnsi="ITCAvantGardeStd-Bk" w:cs="ITCAvantGardeStd-Bk"/>
          <w:color w:val="585757"/>
          <w:sz w:val="20"/>
          <w:szCs w:val="20"/>
        </w:rPr>
        <w:t>dans leur intégralité ou par extrait ne seront rendus accessibles à aucun tiers, excepté sur demande d’un représentant de l’État ou d’une autorité administrative compétente.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cotations reçues par Valdelia seront gardées confidentielles par Valdelia et seulement accessibles par Valdelia. Les cotations ne seront rendues accessibles à aucun tiers, excepté sur demande d’un représentant de l’État ou d’une autorité administrative.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conservera les dossiers des candidats retenus et non retenus pendant toute la durée du marché.</w:t>
      </w:r>
    </w:p>
    <w:p w:rsidR="007347D6" w:rsidRPr="00CE52D9"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10</w:t>
      </w:r>
      <w:r w:rsidR="007347D6" w:rsidRPr="00144DC0">
        <w:rPr>
          <w:rFonts w:ascii="ITCAvantGardeStd-Bk" w:hAnsi="ITCAvantGardeStd-Bk" w:cs="ITCAvantGardeStd-Bk"/>
          <w:color w:val="90A3A5"/>
          <w:sz w:val="44"/>
          <w:szCs w:val="44"/>
        </w:rPr>
        <w:t>.3 Les pénalités et litiges</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En cas de non-respect par le prestataire des procédures mise en place, Valdelia appliquera des pénalités à ses prestataires.</w:t>
      </w:r>
    </w:p>
    <w:p w:rsidR="00D146F3" w:rsidRDefault="00D146F3" w:rsidP="007347D6">
      <w:pPr>
        <w:autoSpaceDE w:val="0"/>
        <w:autoSpaceDN w:val="0"/>
        <w:adjustRightInd w:val="0"/>
        <w:spacing w:after="0" w:line="240" w:lineRule="auto"/>
        <w:rPr>
          <w:rFonts w:ascii="ITCAvantGardeStd-Bk" w:hAnsi="ITCAvantGardeStd-Bk" w:cs="ITCAvantGardeStd-Bk"/>
          <w:b/>
          <w:color w:val="585757"/>
          <w:sz w:val="20"/>
          <w:szCs w:val="20"/>
        </w:rPr>
      </w:pPr>
    </w:p>
    <w:p w:rsidR="007347D6" w:rsidRPr="00D146F3" w:rsidRDefault="007347D6" w:rsidP="007347D6">
      <w:pPr>
        <w:autoSpaceDE w:val="0"/>
        <w:autoSpaceDN w:val="0"/>
        <w:adjustRightInd w:val="0"/>
        <w:spacing w:after="0" w:line="240" w:lineRule="auto"/>
        <w:rPr>
          <w:rFonts w:ascii="ITCAvantGardeStd-Bk" w:hAnsi="ITCAvantGardeStd-Bk" w:cs="ITCAvantGardeStd-Bk"/>
          <w:b/>
          <w:color w:val="585757"/>
          <w:sz w:val="20"/>
          <w:szCs w:val="20"/>
          <w:u w:val="single"/>
        </w:rPr>
      </w:pPr>
      <w:r w:rsidRPr="00D146F3">
        <w:rPr>
          <w:rFonts w:ascii="ITCAvantGardeStd-Bk" w:hAnsi="ITCAvantGardeStd-Bk" w:cs="ITCAvantGardeStd-Bk"/>
          <w:b/>
          <w:color w:val="585757"/>
          <w:sz w:val="20"/>
          <w:szCs w:val="20"/>
          <w:u w:val="single"/>
        </w:rPr>
        <w:t xml:space="preserve">Présence de déchets interdits dans les lots de DEA </w:t>
      </w:r>
      <w:r w:rsidR="00D146F3">
        <w:rPr>
          <w:rFonts w:ascii="ITCAvantGardeStd-Bk" w:hAnsi="ITCAvantGardeStd-Bk" w:cs="ITCAvantGardeStd-Bk"/>
          <w:b/>
          <w:color w:val="585757"/>
          <w:sz w:val="20"/>
          <w:szCs w:val="20"/>
          <w:u w:val="single"/>
        </w:rPr>
        <w:t>évacués vers le centre de traitement</w:t>
      </w:r>
      <w:r w:rsidRPr="00D146F3">
        <w:rPr>
          <w:rFonts w:ascii="ITCAvantGardeStd-Bk" w:hAnsi="ITCAvantGardeStd-Bk" w:cs="ITCAvantGardeStd-Bk"/>
          <w:b/>
          <w:color w:val="585757"/>
          <w:sz w:val="20"/>
          <w:szCs w:val="20"/>
          <w:u w:val="single"/>
        </w:rPr>
        <w:t xml:space="preserve">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Les déchets interdits seront éliminés. Leurs couts d’élimination seront refacturés au </w:t>
      </w:r>
      <w:r w:rsidR="00D146F3">
        <w:rPr>
          <w:rFonts w:ascii="ITCAvantGardeStd-Bk" w:hAnsi="ITCAvantGardeStd-Bk" w:cs="ITCAvantGardeStd-Bk"/>
          <w:color w:val="585757"/>
          <w:sz w:val="20"/>
          <w:szCs w:val="20"/>
        </w:rPr>
        <w:t xml:space="preserve">PAV prestataire </w:t>
      </w:r>
      <w:r w:rsidRPr="00306FFD">
        <w:rPr>
          <w:rFonts w:ascii="ITCAvantGardeStd-Bk" w:hAnsi="ITCAvantGardeStd-Bk" w:cs="ITCAvantGardeStd-Bk"/>
          <w:color w:val="585757"/>
          <w:sz w:val="20"/>
          <w:szCs w:val="20"/>
        </w:rPr>
        <w:t xml:space="preserve">sur la base d’une moyenne nationale de l’ensemble des couts des prestataires de VALDELIA à savoir 120 € / T. Les couts de traitement des déchets dangereux (DASRI, DEEE, DDS etc...) seront refacturés au réel. </w:t>
      </w:r>
    </w:p>
    <w:p w:rsidR="00D146F3" w:rsidRPr="00306FFD" w:rsidRDefault="00D146F3"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D146F3" w:rsidRDefault="007347D6" w:rsidP="007347D6">
      <w:pPr>
        <w:autoSpaceDE w:val="0"/>
        <w:autoSpaceDN w:val="0"/>
        <w:adjustRightInd w:val="0"/>
        <w:spacing w:after="0" w:line="240" w:lineRule="auto"/>
        <w:rPr>
          <w:rFonts w:ascii="ITCAvantGardeStd-Bk" w:hAnsi="ITCAvantGardeStd-Bk" w:cs="ITCAvantGardeStd-Bk"/>
          <w:b/>
          <w:color w:val="585757"/>
          <w:sz w:val="20"/>
          <w:szCs w:val="20"/>
          <w:u w:val="single"/>
        </w:rPr>
      </w:pPr>
      <w:r w:rsidRPr="00D146F3">
        <w:rPr>
          <w:rFonts w:ascii="ITCAvantGardeStd-Bk" w:hAnsi="ITCAvantGardeStd-Bk" w:cs="ITCAvantGardeStd-Bk"/>
          <w:b/>
          <w:color w:val="585757"/>
          <w:sz w:val="20"/>
          <w:szCs w:val="20"/>
          <w:u w:val="single"/>
        </w:rPr>
        <w:t xml:space="preserve">Passage à vide </w:t>
      </w:r>
    </w:p>
    <w:p w:rsidR="007347D6" w:rsidRPr="00306FFD"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VALDELIA considère comme par passage à vide l’absence de flux sur le point de collecte ou une perte de flux de plus de 50% par rapport au volume ou poids annoncé. Les écarts seront estimés par rapprochement </w:t>
      </w:r>
      <w:r w:rsidR="00D146F3">
        <w:rPr>
          <w:rFonts w:ascii="ITCAvantGardeStd-Bk" w:hAnsi="ITCAvantGardeStd-Bk" w:cs="ITCAvantGardeStd-Bk"/>
          <w:color w:val="585757"/>
          <w:sz w:val="20"/>
          <w:szCs w:val="20"/>
        </w:rPr>
        <w:t>d</w:t>
      </w:r>
      <w:r w:rsidRPr="00306FFD">
        <w:rPr>
          <w:rFonts w:ascii="ITCAvantGardeStd-Bk" w:hAnsi="ITCAvantGardeStd-Bk" w:cs="ITCAvantGardeStd-Bk"/>
          <w:color w:val="585757"/>
          <w:sz w:val="20"/>
          <w:szCs w:val="20"/>
        </w:rPr>
        <w:t xml:space="preserve">es tickets de pesée émis par le site de </w:t>
      </w:r>
      <w:r w:rsidR="00D146F3">
        <w:rPr>
          <w:rFonts w:ascii="ITCAvantGardeStd-Bk" w:hAnsi="ITCAvantGardeStd-Bk" w:cs="ITCAvantGardeStd-Bk"/>
          <w:color w:val="585757"/>
          <w:sz w:val="20"/>
          <w:szCs w:val="20"/>
        </w:rPr>
        <w:t>traitement et la base de 2,4T/benne</w:t>
      </w:r>
      <w:r w:rsidRPr="00306FFD">
        <w:rPr>
          <w:rFonts w:ascii="ITCAvantGardeStd-Bk" w:hAnsi="ITCAvantGardeStd-Bk" w:cs="ITCAvantGardeStd-Bk"/>
          <w:color w:val="585757"/>
          <w:sz w:val="20"/>
          <w:szCs w:val="20"/>
        </w:rPr>
        <w:t xml:space="preserve">.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Les passages à vide seront facturés au tarif forfaitaire de 210 € le tour pour une benne 30 m3 et 285 € pour un camion porteur 30 m3, 40 m3 ou 50 m3. </w:t>
      </w:r>
    </w:p>
    <w:p w:rsidR="00D146F3" w:rsidRPr="00306FFD" w:rsidRDefault="00D146F3"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D146F3" w:rsidRDefault="007347D6" w:rsidP="007347D6">
      <w:pPr>
        <w:autoSpaceDE w:val="0"/>
        <w:autoSpaceDN w:val="0"/>
        <w:adjustRightInd w:val="0"/>
        <w:spacing w:after="0" w:line="240" w:lineRule="auto"/>
        <w:rPr>
          <w:rFonts w:ascii="ITCAvantGardeStd-Bk" w:hAnsi="ITCAvantGardeStd-Bk" w:cs="ITCAvantGardeStd-Bk"/>
          <w:b/>
          <w:color w:val="585757"/>
          <w:sz w:val="20"/>
          <w:szCs w:val="20"/>
          <w:u w:val="single"/>
        </w:rPr>
      </w:pPr>
      <w:r w:rsidRPr="00D146F3">
        <w:rPr>
          <w:rFonts w:ascii="ITCAvantGardeStd-Bk" w:hAnsi="ITCAvantGardeStd-Bk" w:cs="ITCAvantGardeStd-Bk"/>
          <w:b/>
          <w:color w:val="585757"/>
          <w:sz w:val="20"/>
          <w:szCs w:val="20"/>
          <w:u w:val="single"/>
        </w:rPr>
        <w:t xml:space="preserve">Annulation de collecte </w:t>
      </w:r>
    </w:p>
    <w:p w:rsidR="007347D6" w:rsidRPr="00306FFD"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Les annulations tardives de collecte (moins de 2 jours ouvrés avant la date initiale de la collecte) seront facturées au détenteur au tarif du passage à vide.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Les déprogrammations de contenants (moins de 2 jours ouvrés avant la date initiale de la collecte) sont considérées comme des annulations de collecte et facturées au tarif du passage à vide. </w:t>
      </w:r>
    </w:p>
    <w:p w:rsidR="00D146F3" w:rsidRPr="00306FFD" w:rsidRDefault="00D146F3"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D146F3" w:rsidRDefault="007347D6" w:rsidP="007347D6">
      <w:pPr>
        <w:autoSpaceDE w:val="0"/>
        <w:autoSpaceDN w:val="0"/>
        <w:adjustRightInd w:val="0"/>
        <w:spacing w:after="0" w:line="240" w:lineRule="auto"/>
        <w:rPr>
          <w:rFonts w:ascii="ITCAvantGardeStd-Bk" w:hAnsi="ITCAvantGardeStd-Bk" w:cs="ITCAvantGardeStd-Bk"/>
          <w:b/>
          <w:color w:val="585757"/>
          <w:sz w:val="20"/>
          <w:szCs w:val="20"/>
          <w:u w:val="single"/>
        </w:rPr>
      </w:pPr>
      <w:r w:rsidRPr="00D146F3">
        <w:rPr>
          <w:rFonts w:ascii="ITCAvantGardeStd-Bk" w:hAnsi="ITCAvantGardeStd-Bk" w:cs="ITCAvantGardeStd-Bk"/>
          <w:b/>
          <w:color w:val="585757"/>
          <w:sz w:val="20"/>
          <w:szCs w:val="20"/>
          <w:u w:val="single"/>
        </w:rPr>
        <w:t xml:space="preserve">Retard de chargement </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VALDELIA autorise un délai d’immobilisation des camions porteurs 30 m3, 40 m3 ou 50 m3 de 2 h maximum. Passé cette plage horaire, les retards de chargement seront facturés à 45 € l’heure de retard. Toute heure commencée sera due. </w:t>
      </w:r>
    </w:p>
    <w:p w:rsidR="00D146F3" w:rsidRPr="00306FFD" w:rsidRDefault="00D146F3"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D146F3" w:rsidRDefault="007347D6" w:rsidP="007347D6">
      <w:pPr>
        <w:autoSpaceDE w:val="0"/>
        <w:autoSpaceDN w:val="0"/>
        <w:adjustRightInd w:val="0"/>
        <w:spacing w:after="0" w:line="240" w:lineRule="auto"/>
        <w:rPr>
          <w:rFonts w:ascii="ITCAvantGardeStd-Bk" w:hAnsi="ITCAvantGardeStd-Bk" w:cs="ITCAvantGardeStd-Bk"/>
          <w:b/>
          <w:color w:val="585757"/>
          <w:sz w:val="20"/>
          <w:szCs w:val="20"/>
          <w:u w:val="single"/>
        </w:rPr>
      </w:pPr>
      <w:r w:rsidRPr="00D146F3">
        <w:rPr>
          <w:rFonts w:ascii="ITCAvantGardeStd-Bk" w:hAnsi="ITCAvantGardeStd-Bk" w:cs="ITCAvantGardeStd-Bk"/>
          <w:b/>
          <w:color w:val="585757"/>
          <w:sz w:val="20"/>
          <w:szCs w:val="20"/>
          <w:u w:val="single"/>
        </w:rPr>
        <w:t xml:space="preserve">Non accessibilité du site </w:t>
      </w:r>
    </w:p>
    <w:p w:rsidR="007347D6" w:rsidRPr="00306FFD"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sidRPr="00306FFD">
        <w:rPr>
          <w:rFonts w:ascii="ITCAvantGardeStd-Bk" w:hAnsi="ITCAvantGardeStd-Bk" w:cs="ITCAvantGardeStd-Bk"/>
          <w:color w:val="585757"/>
          <w:sz w:val="20"/>
          <w:szCs w:val="20"/>
        </w:rPr>
        <w:t xml:space="preserve">VALDELIA considère comme un cas de non accessibilité du site l’impossibilité matérielle de dépose du contenant sur le site (fermeture, place occupée...) </w:t>
      </w:r>
    </w:p>
    <w:p w:rsidR="00D146F3" w:rsidRDefault="00D146F3"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66AAA">
        <w:rPr>
          <w:rFonts w:ascii="ITCAvantGardeStd-Bk" w:hAnsi="ITCAvantGardeStd-Bk" w:cs="ITCAvantGardeStd-Bk"/>
          <w:color w:val="585757"/>
          <w:sz w:val="20"/>
          <w:szCs w:val="20"/>
        </w:rPr>
        <w:t xml:space="preserve">À chaque infraction constatée, Valdelia réalisera une fiche de dysfonctionnement. </w:t>
      </w: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66AAA">
        <w:rPr>
          <w:rFonts w:ascii="ITCAvantGardeStd-Bk" w:hAnsi="ITCAvantGardeStd-Bk" w:cs="ITCAvantGardeStd-Bk"/>
          <w:color w:val="585757"/>
          <w:sz w:val="20"/>
          <w:szCs w:val="20"/>
        </w:rPr>
        <w:t>En cas de dysfonctionnement récurrent et identique, Valdelia contactera le prestataire afin d’étudier l’origine des problèmes et mettre en place avec lui des mesures correctives. Dans le cas où les mesures correctives ne seraient pas respectées, les pénalités seront appliquées.</w:t>
      </w: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66AAA">
        <w:rPr>
          <w:rFonts w:ascii="ITCAvantGardeStd-Bk" w:hAnsi="ITCAvantGardeStd-Bk" w:cs="ITCAvantGardeStd-Bk"/>
          <w:color w:val="585757"/>
          <w:sz w:val="20"/>
          <w:szCs w:val="20"/>
        </w:rPr>
        <w:t>Le montant total des pénalités ne pourra dépassés 10% du chiffre d’affaire annuel réalisé par le prestataire auprès de Valdelia.</w:t>
      </w:r>
    </w:p>
    <w:p w:rsidR="007347D6" w:rsidRPr="00F66AAA"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F66AAA">
        <w:rPr>
          <w:rFonts w:ascii="ITCAvantGardeStd-Bk" w:hAnsi="ITCAvantGardeStd-Bk" w:cs="ITCAvantGardeStd-Bk"/>
          <w:color w:val="585757"/>
          <w:sz w:val="20"/>
          <w:szCs w:val="20"/>
        </w:rPr>
        <w:lastRenderedPageBreak/>
        <w:t>Avant toute action contentieuse, les Parties chercheront, de bonne foi, à régler à l’amiable leurs différends relatifs à la validité, l’exécution et</w:t>
      </w:r>
      <w:r>
        <w:rPr>
          <w:rFonts w:ascii="ITCAvantGardeStd-Bk" w:hAnsi="ITCAvantGardeStd-Bk" w:cs="ITCAvantGardeStd-Bk"/>
          <w:color w:val="585757"/>
          <w:sz w:val="20"/>
          <w:szCs w:val="20"/>
        </w:rPr>
        <w:t xml:space="preserve"> à l’interprétation du présent contrat au travers d’échanges de courriers (électroniques et/ou postaux). En cas de désaccord persistant, un rendez-vous sera organisé afin de confronter les points de vue et effectuer toutes les constatations utiles pour permettre de trouver une solution au litige.</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compte-rendu avec un relevé de décision sera rédigé.</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À défaut d’accord amiable dans un délai de 30 jours à compter de la notification du litige, tout différend né entre les parties, concernant la validité, l’exécution, l’inexécution et/ou l’interprétation du présent contrat sera soumis au Tribunal de Grande Instance dont dépend le siège social de Valdelia qui sera seul compétent.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Les causes de litige peuvent être de différents ordres comme le non-respect récurrent des procédures Valdelia, le non-respect des réglementations en vigueur, le non-respect du cahier des charges et des objectifs du présent marché, etc.</w:t>
      </w:r>
    </w:p>
    <w:p w:rsidR="007347D6" w:rsidRPr="00167564"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10</w:t>
      </w:r>
      <w:r w:rsidR="007347D6" w:rsidRPr="00144DC0">
        <w:rPr>
          <w:rFonts w:ascii="ITCAvantGardeStd-Bk" w:hAnsi="ITCAvantGardeStd-Bk" w:cs="ITCAvantGardeStd-Bk"/>
          <w:color w:val="90A3A5"/>
          <w:sz w:val="44"/>
          <w:szCs w:val="44"/>
        </w:rPr>
        <w:t>.4 Révision des prix</w:t>
      </w:r>
    </w:p>
    <w:p w:rsidR="007347D6" w:rsidRPr="00DB3B02"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DB3B02"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DB3B02">
        <w:rPr>
          <w:rFonts w:ascii="ITCAvantGardeStd-Bk" w:hAnsi="ITCAvantGardeStd-Bk" w:cs="ITCAvantGardeStd-Bk"/>
          <w:color w:val="585757"/>
          <w:sz w:val="20"/>
          <w:szCs w:val="20"/>
        </w:rPr>
        <w:t xml:space="preserve">La révision des prix s’effectuera en fonction des formules et des indices de prix fixés par Valdelia et détaillés dans le fichier Excel « Bordereau de Prix » (annexe </w:t>
      </w:r>
      <w:r w:rsidR="006A7BC6">
        <w:rPr>
          <w:rFonts w:ascii="ITCAvantGardeStd-Bk" w:hAnsi="ITCAvantGardeStd-Bk" w:cs="ITCAvantGardeStd-Bk"/>
          <w:color w:val="585757"/>
          <w:sz w:val="20"/>
          <w:szCs w:val="20"/>
        </w:rPr>
        <w:t>2</w:t>
      </w:r>
      <w:r w:rsidRPr="00DB3B02">
        <w:rPr>
          <w:rFonts w:ascii="ITCAvantGardeStd-Bk" w:hAnsi="ITCAvantGardeStd-Bk" w:cs="ITCAvantGardeStd-Bk"/>
          <w:color w:val="585757"/>
          <w:sz w:val="20"/>
          <w:szCs w:val="20"/>
        </w:rPr>
        <w:t>).</w:t>
      </w:r>
    </w:p>
    <w:p w:rsidR="007347D6" w:rsidRPr="00DB3B02"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DB3B02" w:rsidRPr="00DB3B02" w:rsidRDefault="00DB3B02" w:rsidP="00DB3B02">
      <w:pPr>
        <w:autoSpaceDE w:val="0"/>
        <w:autoSpaceDN w:val="0"/>
        <w:adjustRightInd w:val="0"/>
        <w:spacing w:after="0" w:line="240" w:lineRule="auto"/>
        <w:rPr>
          <w:rFonts w:ascii="ITCAvantGardeStd-Bk" w:hAnsi="ITCAvantGardeStd-Bk" w:cs="ITCAvantGardeStd-Bk"/>
          <w:color w:val="585757"/>
          <w:sz w:val="20"/>
          <w:szCs w:val="20"/>
        </w:rPr>
      </w:pPr>
      <w:r w:rsidRPr="00DB3B02">
        <w:rPr>
          <w:rFonts w:ascii="ITCAvantGardeStd-Bk" w:hAnsi="ITCAvantGardeStd-Bk" w:cs="ITCAvantGardeStd-Bk"/>
          <w:color w:val="585757"/>
          <w:sz w:val="20"/>
          <w:szCs w:val="20"/>
        </w:rPr>
        <w:t>Les révisions annuelles s’appliquent sur :</w:t>
      </w:r>
    </w:p>
    <w:p w:rsidR="00DB3B02" w:rsidRPr="00E73A3B" w:rsidRDefault="00DB3B02" w:rsidP="00E73A3B">
      <w:pPr>
        <w:pStyle w:val="Paragraphedeliste"/>
        <w:numPr>
          <w:ilvl w:val="0"/>
          <w:numId w:val="32"/>
        </w:numPr>
        <w:autoSpaceDE w:val="0"/>
        <w:autoSpaceDN w:val="0"/>
        <w:adjustRightInd w:val="0"/>
        <w:spacing w:after="0" w:line="240" w:lineRule="auto"/>
        <w:rPr>
          <w:rFonts w:ascii="ITCAvantGardeStd-Bk" w:hAnsi="ITCAvantGardeStd-Bk" w:cs="ITCAvantGardeStd-Bk"/>
          <w:color w:val="585757"/>
          <w:sz w:val="20"/>
          <w:szCs w:val="20"/>
        </w:rPr>
      </w:pPr>
      <w:r w:rsidRPr="00E73A3B">
        <w:rPr>
          <w:rFonts w:ascii="ITCAvantGardeStd-Bk" w:hAnsi="ITCAvantGardeStd-Bk" w:cs="ITCAvantGardeStd-Bk"/>
          <w:color w:val="585757"/>
          <w:sz w:val="20"/>
          <w:szCs w:val="20"/>
        </w:rPr>
        <w:t>Le prix à la surface allouée.</w:t>
      </w:r>
    </w:p>
    <w:p w:rsidR="00DB3B02" w:rsidRPr="00E73A3B" w:rsidRDefault="00DB3B02" w:rsidP="00E73A3B">
      <w:pPr>
        <w:pStyle w:val="Paragraphedeliste"/>
        <w:numPr>
          <w:ilvl w:val="0"/>
          <w:numId w:val="32"/>
        </w:numPr>
        <w:autoSpaceDE w:val="0"/>
        <w:autoSpaceDN w:val="0"/>
        <w:adjustRightInd w:val="0"/>
        <w:spacing w:after="0" w:line="240" w:lineRule="auto"/>
        <w:rPr>
          <w:rFonts w:ascii="ITCAvantGardeStd-Bk" w:hAnsi="ITCAvantGardeStd-Bk" w:cs="ITCAvantGardeStd-Bk"/>
          <w:color w:val="585757"/>
          <w:sz w:val="20"/>
          <w:szCs w:val="20"/>
        </w:rPr>
      </w:pPr>
      <w:r w:rsidRPr="00E73A3B">
        <w:rPr>
          <w:rFonts w:ascii="ITCAvantGardeStd-Bk" w:hAnsi="ITCAvantGardeStd-Bk" w:cs="ITCAvantGardeStd-Bk"/>
          <w:color w:val="585757"/>
          <w:sz w:val="20"/>
          <w:szCs w:val="20"/>
        </w:rPr>
        <w:t>Le prix à la tonne chargée.</w:t>
      </w:r>
    </w:p>
    <w:p w:rsidR="00E73A3B" w:rsidRDefault="00E73A3B"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E73A3B" w:rsidRDefault="00E73A3B" w:rsidP="00E73A3B">
      <w:pPr>
        <w:autoSpaceDE w:val="0"/>
        <w:autoSpaceDN w:val="0"/>
        <w:adjustRightInd w:val="0"/>
        <w:spacing w:after="0" w:line="240" w:lineRule="auto"/>
        <w:jc w:val="both"/>
        <w:rPr>
          <w:rFonts w:ascii="ITCAvantGardeStd-Bk" w:hAnsi="ITCAvantGardeStd-Bk" w:cs="ITCAvantGardeStd-Bk"/>
          <w:color w:val="585757"/>
          <w:sz w:val="20"/>
          <w:szCs w:val="20"/>
        </w:rPr>
      </w:pPr>
      <w:r w:rsidRPr="00E73A3B">
        <w:rPr>
          <w:rFonts w:ascii="ITCAvantGardeStd-Bk" w:hAnsi="ITCAvantGardeStd-Bk" w:cs="ITCAvantGardeStd-Bk"/>
          <w:color w:val="585757"/>
          <w:sz w:val="20"/>
          <w:szCs w:val="20"/>
        </w:rPr>
        <w:t>Tous les prix seront renégociables tous les ans en fonction de l’augmentation de la connaissance de la filière.</w:t>
      </w:r>
    </w:p>
    <w:p w:rsidR="007347D6" w:rsidRPr="00DB3B02"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sidRPr="00DB3B02">
        <w:rPr>
          <w:rFonts w:ascii="ITCAvantGardeStd-Bk" w:hAnsi="ITCAvantGardeStd-Bk" w:cs="ITCAvantGardeStd-Bk"/>
          <w:color w:val="585757"/>
          <w:sz w:val="20"/>
          <w:szCs w:val="20"/>
        </w:rPr>
        <w:t>Aucune révision de prix ne sera possible en dehors du cadre prévu.</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1B6E6E" w:rsidP="007347D6">
      <w:pPr>
        <w:autoSpaceDE w:val="0"/>
        <w:autoSpaceDN w:val="0"/>
        <w:adjustRightInd w:val="0"/>
        <w:spacing w:after="0" w:line="240" w:lineRule="auto"/>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11</w:t>
      </w:r>
      <w:r w:rsidR="007347D6">
        <w:rPr>
          <w:rFonts w:ascii="ITCAvantGardeStd-Demi" w:hAnsi="ITCAvantGardeStd-Demi" w:cs="ITCAvantGardeStd-Demi"/>
          <w:color w:val="4D6273"/>
          <w:sz w:val="48"/>
          <w:szCs w:val="48"/>
        </w:rPr>
        <w:t>. Suivi des prestataires</w:t>
      </w:r>
    </w:p>
    <w:p w:rsidR="007347D6" w:rsidRDefault="007347D6" w:rsidP="007347D6">
      <w:pPr>
        <w:autoSpaceDE w:val="0"/>
        <w:autoSpaceDN w:val="0"/>
        <w:adjustRightInd w:val="0"/>
        <w:spacing w:after="0" w:line="240" w:lineRule="auto"/>
        <w:rPr>
          <w:rFonts w:ascii="ITCAvantGardeStd-Bk" w:hAnsi="ITCAvantGardeStd-Bk" w:cs="ITCAvantGardeStd-Bk"/>
          <w:color w:val="4D6273"/>
          <w:sz w:val="20"/>
          <w:szCs w:val="20"/>
        </w:rPr>
      </w:pP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souhaite instaurer une relation de confiance, de transparence avec ses prestataires et mettre en place un processus d’amélioration continue afin d’améliorer en performance l’efficacité et l’efficience de la filière.</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Pour cela, Valdelia va mettre en place un dispositif précis comprenant :</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Enquête détenteur,</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Audit prestataire,</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Suivi quotidien,</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Suivi annuel,</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COMOP,</w:t>
      </w:r>
    </w:p>
    <w:p w:rsidR="007347D6" w:rsidRPr="00957E27" w:rsidRDefault="007347D6" w:rsidP="007347D6">
      <w:pPr>
        <w:pStyle w:val="Paragraphedeliste"/>
        <w:numPr>
          <w:ilvl w:val="0"/>
          <w:numId w:val="7"/>
        </w:numPr>
        <w:autoSpaceDE w:val="0"/>
        <w:autoSpaceDN w:val="0"/>
        <w:adjustRightInd w:val="0"/>
        <w:spacing w:after="0" w:line="240" w:lineRule="auto"/>
        <w:rPr>
          <w:rFonts w:ascii="ITCAvantGardeStd-Bk" w:hAnsi="ITCAvantGardeStd-Bk" w:cs="ITCAvantGardeStd-Bk"/>
          <w:color w:val="585757"/>
          <w:sz w:val="20"/>
          <w:szCs w:val="20"/>
        </w:rPr>
      </w:pPr>
      <w:r w:rsidRPr="00957E27">
        <w:rPr>
          <w:rFonts w:ascii="ITCAvantGardeStd-Bk" w:hAnsi="ITCAvantGardeStd-Bk" w:cs="ITCAvantGardeStd-Bk"/>
          <w:color w:val="585757"/>
          <w:sz w:val="20"/>
          <w:szCs w:val="20"/>
        </w:rPr>
        <w:t>Trophées Valdelia.</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11</w:t>
      </w:r>
      <w:r w:rsidR="007347D6" w:rsidRPr="00144DC0">
        <w:rPr>
          <w:rFonts w:ascii="ITCAvantGardeStd-Bk" w:hAnsi="ITCAvantGardeStd-Bk" w:cs="ITCAvantGardeStd-Bk"/>
          <w:color w:val="90A3A5"/>
          <w:sz w:val="44"/>
          <w:szCs w:val="44"/>
        </w:rPr>
        <w:t>.1 Enquête détenteur</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Valdelia réalise des enquêtes de satisfaction auprès des détenteurs afin d’évaluer leur satisfaction et de recueillir leurs remarques sur le service Valdelia. Cette enquête permettra de faire ressortir les écueils, les points d’amélioration de l’ensemble de la filière et les attentes des détenteurs, clients de nos prestations.</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11</w:t>
      </w:r>
      <w:r w:rsidR="007347D6" w:rsidRPr="00144DC0">
        <w:rPr>
          <w:rFonts w:ascii="ITCAvantGardeStd-Bk" w:hAnsi="ITCAvantGardeStd-Bk" w:cs="ITCAvantGardeStd-Bk"/>
          <w:color w:val="90A3A5"/>
          <w:sz w:val="44"/>
          <w:szCs w:val="44"/>
        </w:rPr>
        <w:t>.2 Audit prestataire</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003E4D" w:rsidP="006E7F25">
      <w:pPr>
        <w:autoSpaceDE w:val="0"/>
        <w:autoSpaceDN w:val="0"/>
        <w:adjustRightInd w:val="0"/>
        <w:spacing w:after="0" w:line="240" w:lineRule="auto"/>
        <w:rPr>
          <w:rFonts w:ascii="ITCAvantGardeStd-Bk" w:hAnsi="ITCAvantGardeStd-Bk" w:cs="ITCAvantGardeStd-Bk"/>
          <w:color w:val="585757"/>
          <w:sz w:val="20"/>
          <w:szCs w:val="20"/>
        </w:rPr>
      </w:pPr>
      <w:r>
        <w:rPr>
          <w:rFonts w:ascii="ITCAvantGardeStd-Bk" w:hAnsi="ITCAvantGardeStd-Bk" w:cs="ITCAvantGardeStd-Bk"/>
          <w:color w:val="585757"/>
          <w:sz w:val="20"/>
          <w:szCs w:val="20"/>
        </w:rPr>
        <w:t>Des audits seront organisés pour les PAV, ceux-ci ne seront pas automatiques</w:t>
      </w:r>
      <w:r w:rsidR="006E7F25">
        <w:rPr>
          <w:rFonts w:ascii="ITCAvantGardeStd-Bk" w:hAnsi="ITCAvantGardeStd-Bk" w:cs="ITCAvantGardeStd-Bk"/>
          <w:color w:val="585757"/>
          <w:sz w:val="20"/>
          <w:szCs w:val="20"/>
        </w:rPr>
        <w:t>.</w:t>
      </w:r>
      <w:r>
        <w:rPr>
          <w:rFonts w:ascii="ITCAvantGardeStd-Bk" w:hAnsi="ITCAvantGardeStd-Bk" w:cs="ITCAvantGardeStd-Bk"/>
          <w:color w:val="585757"/>
          <w:sz w:val="20"/>
          <w:szCs w:val="20"/>
        </w:rPr>
        <w:t xml:space="preserve"> </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système de notation sera mis en place en concertation avec l’ensemble des prestataires. Cet audit sera réalisé par un cabinet extérieur afin de garantir la neutralité des résultats. Le prestataire sera prévenu au minimum 48 h à l’avance.</w:t>
      </w:r>
    </w:p>
    <w:p w:rsidR="007347D6" w:rsidRPr="00890534" w:rsidRDefault="007347D6" w:rsidP="00890534">
      <w:pPr>
        <w:pStyle w:val="Paragraphedeliste"/>
        <w:numPr>
          <w:ilvl w:val="0"/>
          <w:numId w:val="33"/>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Le cabinet contrôlera principalement :</w:t>
      </w:r>
    </w:p>
    <w:p w:rsidR="007347D6" w:rsidRPr="00890534" w:rsidRDefault="007347D6" w:rsidP="00890534">
      <w:pPr>
        <w:pStyle w:val="Paragraphedeliste"/>
        <w:numPr>
          <w:ilvl w:val="0"/>
          <w:numId w:val="33"/>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Le respect du cahier des charges technique et administratif de Valdelia,</w:t>
      </w:r>
    </w:p>
    <w:p w:rsidR="007347D6" w:rsidRPr="00890534" w:rsidRDefault="007347D6" w:rsidP="00890534">
      <w:pPr>
        <w:pStyle w:val="Paragraphedeliste"/>
        <w:numPr>
          <w:ilvl w:val="0"/>
          <w:numId w:val="33"/>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Le respect de la réglementation en vigueur.</w:t>
      </w:r>
    </w:p>
    <w:p w:rsidR="007347D6" w:rsidRPr="00890534" w:rsidRDefault="007347D6" w:rsidP="00890534">
      <w:pPr>
        <w:pStyle w:val="Paragraphedeliste"/>
        <w:numPr>
          <w:ilvl w:val="0"/>
          <w:numId w:val="33"/>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Le prestataire ne peut refuser la réalisation de l’audit.</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Prestataire s’engage à fournir à l’auditeur de Valdelia un accès total à ses installations, son système d’information et ses documents afin que celui-ci puisse évaluer le respect des obligations du prestataire. Si une non-conformité est détectée, le prestataire doit prendre les mesures correctives nécessaires et faire parvenir à Valdelia un planning de réalisation, dans les plus brefs délais.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À la suite de l’audit, le prestataire reçoit un rapport d’audit avec les conformités et les non conformités. Le prestataire devra lever les non conformités.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En fin d’année, les résultats nationaux seront communiqués à l’ensemble des prestataires.</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 mode d’organisation permettra à Valdelia de s’assurer que les obligations confiées à ses prestataires sont bien respectées.</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11</w:t>
      </w:r>
      <w:r w:rsidR="007347D6" w:rsidRPr="00144DC0">
        <w:rPr>
          <w:rFonts w:ascii="ITCAvantGardeStd-Bk" w:hAnsi="ITCAvantGardeStd-Bk" w:cs="ITCAvantGardeStd-Bk"/>
          <w:color w:val="90A3A5"/>
          <w:sz w:val="44"/>
          <w:szCs w:val="44"/>
        </w:rPr>
        <w:t>.3 Suivi quotidien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Au quotidien, les prestataires seront en contact avec </w:t>
      </w:r>
      <w:r w:rsidR="00890534">
        <w:rPr>
          <w:rFonts w:ascii="ITCAvantGardeStd-Bk" w:hAnsi="ITCAvantGardeStd-Bk" w:cs="ITCAvantGardeStd-Bk"/>
          <w:color w:val="585757"/>
          <w:sz w:val="20"/>
          <w:szCs w:val="20"/>
        </w:rPr>
        <w:t>le facilitateur</w:t>
      </w:r>
      <w:r>
        <w:rPr>
          <w:rFonts w:ascii="ITCAvantGardeStd-Bk" w:hAnsi="ITCAvantGardeStd-Bk" w:cs="ITCAvantGardeStd-Bk"/>
          <w:color w:val="585757"/>
          <w:sz w:val="20"/>
          <w:szCs w:val="20"/>
        </w:rPr>
        <w:t>, les assistantes d’opérations et les agents de facturation de Valdelia.</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Le </w:t>
      </w:r>
      <w:r w:rsidR="00890534">
        <w:rPr>
          <w:rFonts w:ascii="ITCAvantGardeStd-Bk" w:hAnsi="ITCAvantGardeStd-Bk" w:cs="ITCAvantGardeStd-Bk"/>
          <w:color w:val="585757"/>
          <w:sz w:val="20"/>
          <w:szCs w:val="20"/>
        </w:rPr>
        <w:t>facilitateur</w:t>
      </w:r>
      <w:r>
        <w:rPr>
          <w:rFonts w:ascii="ITCAvantGardeStd-Bk" w:hAnsi="ITCAvantGardeStd-Bk" w:cs="ITCAvantGardeStd-Bk"/>
          <w:color w:val="585757"/>
          <w:sz w:val="20"/>
          <w:szCs w:val="20"/>
        </w:rPr>
        <w:t xml:space="preserve"> viendra su</w:t>
      </w:r>
      <w:r w:rsidR="00935E16">
        <w:rPr>
          <w:rFonts w:ascii="ITCAvantGardeStd-Bk" w:hAnsi="ITCAvantGardeStd-Bk" w:cs="ITCAvantGardeStd-Bk"/>
          <w:color w:val="585757"/>
          <w:sz w:val="20"/>
          <w:szCs w:val="20"/>
        </w:rPr>
        <w:t>r le site une fois par an</w:t>
      </w:r>
      <w:r>
        <w:rPr>
          <w:rFonts w:ascii="ITCAvantGardeStd-Bk" w:hAnsi="ITCAvantGardeStd-Bk" w:cs="ITCAvantGardeStd-Bk"/>
          <w:color w:val="585757"/>
          <w:sz w:val="20"/>
          <w:szCs w:val="20"/>
        </w:rPr>
        <w:t xml:space="preserve"> sur rendez-vous. Cette visite sera l’occasion pour le prestataire et </w:t>
      </w:r>
      <w:r w:rsidR="00890534">
        <w:rPr>
          <w:rFonts w:ascii="ITCAvantGardeStd-Bk" w:hAnsi="ITCAvantGardeStd-Bk" w:cs="ITCAvantGardeStd-Bk"/>
          <w:color w:val="585757"/>
          <w:sz w:val="20"/>
          <w:szCs w:val="20"/>
        </w:rPr>
        <w:t>le facilitateur</w:t>
      </w:r>
      <w:r>
        <w:rPr>
          <w:rFonts w:ascii="ITCAvantGardeStd-Bk" w:hAnsi="ITCAvantGardeStd-Bk" w:cs="ITCAvantGardeStd-Bk"/>
          <w:color w:val="585757"/>
          <w:sz w:val="20"/>
          <w:szCs w:val="20"/>
        </w:rPr>
        <w:t xml:space="preserve"> de voir ensemble :</w:t>
      </w:r>
    </w:p>
    <w:p w:rsidR="007347D6" w:rsidRPr="00890534" w:rsidRDefault="007347D6" w:rsidP="00890534">
      <w:pPr>
        <w:pStyle w:val="Paragraphedeliste"/>
        <w:numPr>
          <w:ilvl w:val="0"/>
          <w:numId w:val="34"/>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Le respect des cahiers des charges techniques,</w:t>
      </w:r>
    </w:p>
    <w:p w:rsidR="007347D6" w:rsidRPr="00890534" w:rsidRDefault="007347D6" w:rsidP="00890534">
      <w:pPr>
        <w:pStyle w:val="Paragraphedeliste"/>
        <w:numPr>
          <w:ilvl w:val="0"/>
          <w:numId w:val="34"/>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 xml:space="preserve">Les sujets techniques permettant notamment d’améliorer les performances du </w:t>
      </w:r>
      <w:r w:rsidR="00504032">
        <w:rPr>
          <w:rFonts w:ascii="ITCAvantGardeStd-Bk" w:hAnsi="ITCAvantGardeStd-Bk" w:cs="ITCAvantGardeStd-Bk"/>
          <w:color w:val="585757"/>
          <w:sz w:val="20"/>
          <w:szCs w:val="20"/>
        </w:rPr>
        <w:t>PAV</w:t>
      </w:r>
      <w:r w:rsidRPr="00890534">
        <w:rPr>
          <w:rFonts w:ascii="ITCAvantGardeStd-Bk" w:hAnsi="ITCAvantGardeStd-Bk" w:cs="ITCAvantGardeStd-Bk"/>
          <w:color w:val="585757"/>
          <w:sz w:val="20"/>
          <w:szCs w:val="20"/>
        </w:rPr>
        <w:t>,</w:t>
      </w:r>
    </w:p>
    <w:p w:rsidR="007347D6" w:rsidRPr="00890534" w:rsidRDefault="007347D6" w:rsidP="00890534">
      <w:pPr>
        <w:pStyle w:val="Paragraphedeliste"/>
        <w:numPr>
          <w:ilvl w:val="0"/>
          <w:numId w:val="34"/>
        </w:numPr>
        <w:autoSpaceDE w:val="0"/>
        <w:autoSpaceDN w:val="0"/>
        <w:adjustRightInd w:val="0"/>
        <w:spacing w:after="0" w:line="240" w:lineRule="auto"/>
        <w:jc w:val="both"/>
        <w:rPr>
          <w:rFonts w:ascii="ITCAvantGardeStd-Bk" w:hAnsi="ITCAvantGardeStd-Bk" w:cs="ITCAvantGardeStd-Bk"/>
          <w:color w:val="585757"/>
          <w:sz w:val="20"/>
          <w:szCs w:val="20"/>
        </w:rPr>
      </w:pPr>
      <w:r w:rsidRPr="00890534">
        <w:rPr>
          <w:rFonts w:ascii="ITCAvantGardeStd-Bk" w:hAnsi="ITCAvantGardeStd-Bk" w:cs="ITCAvantGardeStd-Bk"/>
          <w:color w:val="585757"/>
          <w:sz w:val="20"/>
          <w:szCs w:val="20"/>
        </w:rPr>
        <w:t xml:space="preserve">Tous les éléments liés à la traçabilité et </w:t>
      </w:r>
      <w:r w:rsidR="00935E16" w:rsidRPr="00890534">
        <w:rPr>
          <w:rFonts w:ascii="ITCAvantGardeStd-Bk" w:hAnsi="ITCAvantGardeStd-Bk" w:cs="ITCAvantGardeStd-Bk"/>
          <w:color w:val="585757"/>
          <w:sz w:val="20"/>
          <w:szCs w:val="20"/>
        </w:rPr>
        <w:t>à l’utilisation du</w:t>
      </w:r>
      <w:r w:rsidRPr="00890534">
        <w:rPr>
          <w:rFonts w:ascii="ITCAvantGardeStd-Bk" w:hAnsi="ITCAvantGardeStd-Bk" w:cs="ITCAvantGardeStd-Bk"/>
          <w:color w:val="585757"/>
          <w:sz w:val="20"/>
          <w:szCs w:val="20"/>
        </w:rPr>
        <w:t xml:space="preserve"> SI.</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Un vrai dialogue entre Valdelia et les prestataires doit être instauré pour capitaliser les savoir-faire de chacun.</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504032"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Dans le cas d’une zone ESS activée, l</w:t>
      </w:r>
      <w:r w:rsidR="007347D6">
        <w:rPr>
          <w:rFonts w:ascii="ITCAvantGardeStd-Bk" w:hAnsi="ITCAvantGardeStd-Bk" w:cs="ITCAvantGardeStd-Bk"/>
          <w:color w:val="585757"/>
          <w:sz w:val="20"/>
          <w:szCs w:val="20"/>
        </w:rPr>
        <w:t xml:space="preserve">e service Économie Sociale et Solidaire (ESS) sera également en relation constante avec les prestataires pour réaliser et suivre le lien entre les entreprises de l’ESS et les prestataires lors des opérations de </w:t>
      </w:r>
      <w:r>
        <w:rPr>
          <w:rFonts w:ascii="ITCAvantGardeStd-Bk" w:hAnsi="ITCAvantGardeStd-Bk" w:cs="ITCAvantGardeStd-Bk"/>
          <w:color w:val="585757"/>
          <w:sz w:val="20"/>
          <w:szCs w:val="20"/>
        </w:rPr>
        <w:t>collecte</w:t>
      </w:r>
      <w:r w:rsidR="007347D6">
        <w:rPr>
          <w:rFonts w:ascii="ITCAvantGardeStd-Bk" w:hAnsi="ITCAvantGardeStd-Bk" w:cs="ITCAvantGardeStd-Bk"/>
          <w:color w:val="585757"/>
          <w:sz w:val="20"/>
          <w:szCs w:val="20"/>
        </w:rPr>
        <w:t xml:space="preserve"> de mobilier sur les PAV.</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11</w:t>
      </w:r>
      <w:r w:rsidR="00544EDC" w:rsidRPr="00144DC0">
        <w:rPr>
          <w:rFonts w:ascii="ITCAvantGardeStd-Bk" w:hAnsi="ITCAvantGardeStd-Bk" w:cs="ITCAvantGardeStd-Bk"/>
          <w:color w:val="90A3A5"/>
          <w:sz w:val="44"/>
          <w:szCs w:val="44"/>
        </w:rPr>
        <w:t>.4</w:t>
      </w:r>
      <w:r w:rsidR="007347D6" w:rsidRPr="00144DC0">
        <w:rPr>
          <w:rFonts w:ascii="ITCAvantGardeStd-Bk" w:hAnsi="ITCAvantGardeStd-Bk" w:cs="ITCAvantGardeStd-Bk"/>
          <w:color w:val="90A3A5"/>
          <w:sz w:val="44"/>
          <w:szCs w:val="44"/>
        </w:rPr>
        <w:t xml:space="preserve"> </w:t>
      </w:r>
      <w:proofErr w:type="spellStart"/>
      <w:r w:rsidR="007347D6" w:rsidRPr="00144DC0">
        <w:rPr>
          <w:rFonts w:ascii="ITCAvantGardeStd-Bk" w:hAnsi="ITCAvantGardeStd-Bk" w:cs="ITCAvantGardeStd-Bk"/>
          <w:color w:val="90A3A5"/>
          <w:sz w:val="44"/>
          <w:szCs w:val="44"/>
        </w:rPr>
        <w:t>COMité</w:t>
      </w:r>
      <w:proofErr w:type="spellEnd"/>
      <w:r w:rsidR="007347D6" w:rsidRPr="00144DC0">
        <w:rPr>
          <w:rFonts w:ascii="ITCAvantGardeStd-Bk" w:hAnsi="ITCAvantGardeStd-Bk" w:cs="ITCAvantGardeStd-Bk"/>
          <w:color w:val="90A3A5"/>
          <w:sz w:val="44"/>
          <w:szCs w:val="44"/>
        </w:rPr>
        <w:t xml:space="preserve"> </w:t>
      </w:r>
      <w:proofErr w:type="spellStart"/>
      <w:r w:rsidR="007347D6" w:rsidRPr="00144DC0">
        <w:rPr>
          <w:rFonts w:ascii="ITCAvantGardeStd-Bk" w:hAnsi="ITCAvantGardeStd-Bk" w:cs="ITCAvantGardeStd-Bk"/>
          <w:color w:val="90A3A5"/>
          <w:sz w:val="44"/>
          <w:szCs w:val="44"/>
        </w:rPr>
        <w:t>OPérationnel</w:t>
      </w:r>
      <w:proofErr w:type="spellEnd"/>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 xml:space="preserve">Valdelia organise, de façon régulière, des réunions du </w:t>
      </w:r>
      <w:proofErr w:type="spellStart"/>
      <w:r>
        <w:rPr>
          <w:rFonts w:ascii="ITCAvantGardeStd-Bk" w:hAnsi="ITCAvantGardeStd-Bk" w:cs="ITCAvantGardeStd-Bk"/>
          <w:color w:val="585757"/>
          <w:sz w:val="20"/>
          <w:szCs w:val="20"/>
        </w:rPr>
        <w:t>COMité</w:t>
      </w:r>
      <w:proofErr w:type="spellEnd"/>
      <w:r>
        <w:rPr>
          <w:rFonts w:ascii="ITCAvantGardeStd-Bk" w:hAnsi="ITCAvantGardeStd-Bk" w:cs="ITCAvantGardeStd-Bk"/>
          <w:color w:val="585757"/>
          <w:sz w:val="20"/>
          <w:szCs w:val="20"/>
        </w:rPr>
        <w:t xml:space="preserve"> </w:t>
      </w:r>
      <w:proofErr w:type="spellStart"/>
      <w:r>
        <w:rPr>
          <w:rFonts w:ascii="ITCAvantGardeStd-Bk" w:hAnsi="ITCAvantGardeStd-Bk" w:cs="ITCAvantGardeStd-Bk"/>
          <w:color w:val="585757"/>
          <w:sz w:val="20"/>
          <w:szCs w:val="20"/>
        </w:rPr>
        <w:t>OPérationnel</w:t>
      </w:r>
      <w:proofErr w:type="spellEnd"/>
      <w:r>
        <w:rPr>
          <w:rFonts w:ascii="ITCAvantGardeStd-Bk" w:hAnsi="ITCAvantGardeStd-Bk" w:cs="ITCAvantGardeStd-Bk"/>
          <w:color w:val="585757"/>
          <w:sz w:val="20"/>
          <w:szCs w:val="20"/>
        </w:rPr>
        <w:t xml:space="preserve"> (COMOP).</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Ce COMOP se compose de Valdelia et des syndicats représentatifs des prestataires du déchet (FNADE, FEDEREC, les entrepreneurs du déchet, etc.) et des structures de l’Économie Sociale et Solidaire (ENVIE, EMMAÜS, 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L’objectif de ces réunions trimestrielles est de faire un point régulier sur la filière et d’échanger sur les prestations de façon globale.</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Pr="00144DC0" w:rsidRDefault="001B6E6E" w:rsidP="00144DC0">
      <w:pPr>
        <w:autoSpaceDE w:val="0"/>
        <w:autoSpaceDN w:val="0"/>
        <w:adjustRightInd w:val="0"/>
        <w:spacing w:after="0" w:line="240" w:lineRule="auto"/>
        <w:jc w:val="both"/>
        <w:rPr>
          <w:rFonts w:ascii="ITCAvantGardeStd-Bk" w:hAnsi="ITCAvantGardeStd-Bk" w:cs="ITCAvantGardeStd-Bk"/>
          <w:color w:val="90A3A5"/>
          <w:sz w:val="44"/>
          <w:szCs w:val="44"/>
        </w:rPr>
      </w:pPr>
      <w:r w:rsidRPr="00144DC0">
        <w:rPr>
          <w:rFonts w:ascii="ITCAvantGardeStd-Bk" w:hAnsi="ITCAvantGardeStd-Bk" w:cs="ITCAvantGardeStd-Bk"/>
          <w:color w:val="90A3A5"/>
          <w:sz w:val="44"/>
          <w:szCs w:val="44"/>
        </w:rPr>
        <w:t>11</w:t>
      </w:r>
      <w:r w:rsidR="00544EDC" w:rsidRPr="00144DC0">
        <w:rPr>
          <w:rFonts w:ascii="ITCAvantGardeStd-Bk" w:hAnsi="ITCAvantGardeStd-Bk" w:cs="ITCAvantGardeStd-Bk"/>
          <w:color w:val="90A3A5"/>
          <w:sz w:val="44"/>
          <w:szCs w:val="44"/>
        </w:rPr>
        <w:t>.5</w:t>
      </w:r>
      <w:r w:rsidR="007347D6" w:rsidRPr="00144DC0">
        <w:rPr>
          <w:rFonts w:ascii="ITCAvantGardeStd-Bk" w:hAnsi="ITCAvantGardeStd-Bk" w:cs="ITCAvantGardeStd-Bk"/>
          <w:color w:val="90A3A5"/>
          <w:sz w:val="44"/>
          <w:szCs w:val="44"/>
        </w:rPr>
        <w:t xml:space="preserve"> Trophées Valdelia</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Afin de récompenser les bonnes pratiques des prestataires et leur esprit d’innovation, Valdelia remettra des trophées à ses prestataires dans plusieurs catégories :</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le meilleur prestataire de collecte ;</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lastRenderedPageBreak/>
        <w:t>la meilleure innovation en terme d’impact carbone ;</w:t>
      </w:r>
    </w:p>
    <w:p w:rsidR="007347D6" w:rsidRDefault="007347D6" w:rsidP="007347D6">
      <w:pPr>
        <w:autoSpaceDE w:val="0"/>
        <w:autoSpaceDN w:val="0"/>
        <w:adjustRightInd w:val="0"/>
        <w:spacing w:after="0" w:line="240" w:lineRule="auto"/>
        <w:ind w:firstLine="708"/>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etc.</w:t>
      </w: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jc w:val="both"/>
        <w:rPr>
          <w:rFonts w:ascii="ITCAvantGardeStd-Bk" w:hAnsi="ITCAvantGardeStd-Bk" w:cs="ITCAvantGardeStd-Bk"/>
          <w:color w:val="585757"/>
          <w:sz w:val="20"/>
          <w:szCs w:val="20"/>
        </w:rPr>
      </w:pPr>
      <w:r>
        <w:rPr>
          <w:rFonts w:ascii="ITCAvantGardeStd-Bk" w:hAnsi="ITCAvantGardeStd-Bk" w:cs="ITCAvantGardeStd-Bk"/>
          <w:color w:val="585757"/>
          <w:sz w:val="20"/>
          <w:szCs w:val="20"/>
        </w:rPr>
        <w:t>La cérémonie de remise des trophées aura lieu à la fin de chaque année du présent marché. Tous les prestataires de la filière, des institutionnels, les fédérations du déchet, les pouvoirs publics seront  invités. Cette soirée sera, également, l’occasion de faire un retour sur l’année écoulée et les perspectives de la filière pour la ou les années suivantes.</w:t>
      </w:r>
    </w:p>
    <w:p w:rsidR="007347D6"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12DC8" w:rsidRDefault="00712DC8" w:rsidP="007347D6">
      <w:pPr>
        <w:autoSpaceDE w:val="0"/>
        <w:autoSpaceDN w:val="0"/>
        <w:adjustRightInd w:val="0"/>
        <w:spacing w:after="0" w:line="240" w:lineRule="auto"/>
        <w:rPr>
          <w:rFonts w:ascii="ITCAvantGardeStd-Demi" w:hAnsi="ITCAvantGardeStd-Demi" w:cs="ITCAvantGardeStd-Demi"/>
          <w:color w:val="4D6273"/>
          <w:sz w:val="48"/>
          <w:szCs w:val="48"/>
        </w:rPr>
      </w:pPr>
    </w:p>
    <w:p w:rsidR="007347D6" w:rsidRDefault="001B6E6E" w:rsidP="007347D6">
      <w:pPr>
        <w:autoSpaceDE w:val="0"/>
        <w:autoSpaceDN w:val="0"/>
        <w:adjustRightInd w:val="0"/>
        <w:spacing w:after="0" w:line="240" w:lineRule="auto"/>
        <w:rPr>
          <w:rFonts w:ascii="ITCAvantGardeStd-Demi" w:hAnsi="ITCAvantGardeStd-Demi" w:cs="ITCAvantGardeStd-Demi"/>
          <w:color w:val="4D6273"/>
          <w:sz w:val="48"/>
          <w:szCs w:val="48"/>
        </w:rPr>
      </w:pPr>
      <w:r>
        <w:rPr>
          <w:rFonts w:ascii="ITCAvantGardeStd-Demi" w:hAnsi="ITCAvantGardeStd-Demi" w:cs="ITCAvantGardeStd-Demi"/>
          <w:color w:val="4D6273"/>
          <w:sz w:val="48"/>
          <w:szCs w:val="48"/>
        </w:rPr>
        <w:t>12</w:t>
      </w:r>
      <w:r w:rsidR="007347D6">
        <w:rPr>
          <w:rFonts w:ascii="ITCAvantGardeStd-Demi" w:hAnsi="ITCAvantGardeStd-Demi" w:cs="ITCAvantGardeStd-Demi"/>
          <w:color w:val="4D6273"/>
          <w:sz w:val="48"/>
          <w:szCs w:val="48"/>
        </w:rPr>
        <w:t>. Liste des annexes</w:t>
      </w:r>
    </w:p>
    <w:p w:rsidR="007347D6" w:rsidRPr="007403D8" w:rsidRDefault="007347D6" w:rsidP="007347D6">
      <w:pPr>
        <w:autoSpaceDE w:val="0"/>
        <w:autoSpaceDN w:val="0"/>
        <w:adjustRightInd w:val="0"/>
        <w:spacing w:after="0" w:line="240" w:lineRule="auto"/>
        <w:rPr>
          <w:rFonts w:ascii="ITCAvantGardeStd-Bk" w:hAnsi="ITCAvantGardeStd-Bk" w:cs="ITCAvantGardeStd-Bk"/>
          <w:color w:val="585757"/>
          <w:sz w:val="20"/>
          <w:szCs w:val="20"/>
        </w:rPr>
      </w:pPr>
    </w:p>
    <w:p w:rsidR="007347D6" w:rsidRDefault="007347D6" w:rsidP="007347D6">
      <w:pPr>
        <w:autoSpaceDE w:val="0"/>
        <w:autoSpaceDN w:val="0"/>
        <w:adjustRightInd w:val="0"/>
        <w:spacing w:after="0" w:line="240" w:lineRule="auto"/>
        <w:rPr>
          <w:rFonts w:ascii="ITCAvantGardeStd-Bk" w:hAnsi="ITCAvantGardeStd-Bk" w:cs="ITCAvantGardeStd-Bk"/>
          <w:color w:val="90A3A5"/>
          <w:sz w:val="24"/>
          <w:szCs w:val="24"/>
        </w:rPr>
      </w:pPr>
      <w:r>
        <w:rPr>
          <w:rFonts w:ascii="ITCAvantGardeStd-Bk" w:hAnsi="ITCAvantGardeStd-Bk" w:cs="ITCAvantGardeStd-Bk"/>
          <w:color w:val="90A3A5"/>
          <w:sz w:val="24"/>
          <w:szCs w:val="24"/>
        </w:rPr>
        <w:t>Annexe 1..........................</w:t>
      </w:r>
      <w:r w:rsidR="0049774E">
        <w:rPr>
          <w:rFonts w:ascii="ITCAvantGardeStd-Bk" w:hAnsi="ITCAvantGardeStd-Bk" w:cs="ITCAvantGardeStd-Bk"/>
          <w:color w:val="90A3A5"/>
          <w:sz w:val="24"/>
          <w:szCs w:val="24"/>
        </w:rPr>
        <w:t>...........................................................Kit prestataire PAV</w:t>
      </w:r>
    </w:p>
    <w:p w:rsidR="007347D6" w:rsidRDefault="0049774E" w:rsidP="007347D6">
      <w:pPr>
        <w:autoSpaceDE w:val="0"/>
        <w:autoSpaceDN w:val="0"/>
        <w:adjustRightInd w:val="0"/>
        <w:spacing w:after="0" w:line="240" w:lineRule="auto"/>
        <w:rPr>
          <w:rFonts w:ascii="ITCAvantGardeStd-Bk" w:hAnsi="ITCAvantGardeStd-Bk" w:cs="ITCAvantGardeStd-Bk"/>
          <w:color w:val="90A3A5"/>
          <w:sz w:val="24"/>
          <w:szCs w:val="24"/>
        </w:rPr>
      </w:pPr>
      <w:r>
        <w:rPr>
          <w:rFonts w:ascii="ITCAvantGardeStd-Bk" w:hAnsi="ITCAvantGardeStd-Bk" w:cs="ITCAvantGardeStd-Bk"/>
          <w:color w:val="90A3A5"/>
          <w:sz w:val="24"/>
          <w:szCs w:val="24"/>
        </w:rPr>
        <w:t>Annexe 2</w:t>
      </w:r>
      <w:r w:rsidR="007347D6">
        <w:rPr>
          <w:rFonts w:ascii="ITCAvantGardeStd-Bk" w:hAnsi="ITCAvantGardeStd-Bk" w:cs="ITCAvantGardeStd-Bk"/>
          <w:color w:val="90A3A5"/>
          <w:sz w:val="24"/>
          <w:szCs w:val="24"/>
        </w:rPr>
        <w:t>...........................................................</w:t>
      </w:r>
      <w:r w:rsidR="006A7BC6">
        <w:rPr>
          <w:rFonts w:ascii="ITCAvantGardeStd-Bk" w:hAnsi="ITCAvantGardeStd-Bk" w:cs="ITCAvantGardeStd-Bk"/>
          <w:color w:val="90A3A5"/>
          <w:sz w:val="24"/>
          <w:szCs w:val="24"/>
        </w:rPr>
        <w:t>...........................</w:t>
      </w:r>
      <w:r w:rsidR="007347D6">
        <w:rPr>
          <w:rFonts w:ascii="ITCAvantGardeStd-Bk" w:hAnsi="ITCAvantGardeStd-Bk" w:cs="ITCAvantGardeStd-Bk"/>
          <w:color w:val="90A3A5"/>
          <w:sz w:val="24"/>
          <w:szCs w:val="24"/>
        </w:rPr>
        <w:t>Bordereau de Prix</w:t>
      </w:r>
    </w:p>
    <w:p w:rsidR="007347D6" w:rsidRDefault="0049774E" w:rsidP="007347D6">
      <w:pPr>
        <w:autoSpaceDE w:val="0"/>
        <w:autoSpaceDN w:val="0"/>
        <w:adjustRightInd w:val="0"/>
        <w:spacing w:after="0" w:line="240" w:lineRule="auto"/>
        <w:rPr>
          <w:rFonts w:ascii="ITCAvantGardeStd-Bk" w:hAnsi="ITCAvantGardeStd-Bk" w:cs="ITCAvantGardeStd-Bk"/>
          <w:color w:val="90A3A5"/>
          <w:sz w:val="24"/>
          <w:szCs w:val="24"/>
        </w:rPr>
      </w:pPr>
      <w:r>
        <w:rPr>
          <w:rFonts w:ascii="ITCAvantGardeStd-Bk" w:hAnsi="ITCAvantGardeStd-Bk" w:cs="ITCAvantGardeStd-Bk"/>
          <w:color w:val="90A3A5"/>
          <w:sz w:val="24"/>
          <w:szCs w:val="24"/>
        </w:rPr>
        <w:t>Annexe 3</w:t>
      </w:r>
      <w:r w:rsidR="007347D6">
        <w:rPr>
          <w:rFonts w:ascii="ITCAvantGardeStd-Bk" w:hAnsi="ITCAvantGardeStd-Bk" w:cs="ITCAvantGardeStd-Bk"/>
          <w:color w:val="90A3A5"/>
          <w:sz w:val="24"/>
          <w:szCs w:val="24"/>
        </w:rPr>
        <w:t>......................................................</w:t>
      </w:r>
      <w:r w:rsidR="006A7BC6">
        <w:rPr>
          <w:rFonts w:ascii="ITCAvantGardeStd-Bk" w:hAnsi="ITCAvantGardeStd-Bk" w:cs="ITCAvantGardeStd-Bk"/>
          <w:color w:val="90A3A5"/>
          <w:sz w:val="24"/>
          <w:szCs w:val="24"/>
        </w:rPr>
        <w:t>...............................</w:t>
      </w:r>
      <w:r w:rsidR="007347D6">
        <w:rPr>
          <w:rFonts w:ascii="ITCAvantGardeStd-Bk" w:hAnsi="ITCAvantGardeStd-Bk" w:cs="ITCAvantGardeStd-Bk"/>
          <w:color w:val="90A3A5"/>
          <w:sz w:val="24"/>
          <w:szCs w:val="24"/>
        </w:rPr>
        <w:t>Fiche d’identification</w:t>
      </w:r>
    </w:p>
    <w:p w:rsidR="007347D6" w:rsidRDefault="0049774E" w:rsidP="007347D6">
      <w:pPr>
        <w:autoSpaceDE w:val="0"/>
        <w:autoSpaceDN w:val="0"/>
        <w:adjustRightInd w:val="0"/>
        <w:spacing w:after="0" w:line="240" w:lineRule="auto"/>
        <w:rPr>
          <w:rFonts w:ascii="ITCAvantGardeStd-Bk" w:hAnsi="ITCAvantGardeStd-Bk" w:cs="ITCAvantGardeStd-Bk"/>
          <w:color w:val="90A3A5"/>
          <w:sz w:val="24"/>
          <w:szCs w:val="24"/>
        </w:rPr>
      </w:pPr>
      <w:r>
        <w:rPr>
          <w:rFonts w:ascii="ITCAvantGardeStd-Bk" w:hAnsi="ITCAvantGardeStd-Bk" w:cs="ITCAvantGardeStd-Bk"/>
          <w:color w:val="90A3A5"/>
          <w:sz w:val="24"/>
          <w:szCs w:val="24"/>
        </w:rPr>
        <w:t>Annexe 4</w:t>
      </w:r>
      <w:r w:rsidR="007347D6">
        <w:rPr>
          <w:rFonts w:ascii="ITCAvantGardeStd-Bk" w:hAnsi="ITCAvantGardeStd-Bk" w:cs="ITCAvantGardeStd-Bk"/>
          <w:color w:val="90A3A5"/>
          <w:sz w:val="24"/>
          <w:szCs w:val="24"/>
        </w:rPr>
        <w:t>........</w:t>
      </w:r>
      <w:r>
        <w:rPr>
          <w:rFonts w:ascii="ITCAvantGardeStd-Bk" w:hAnsi="ITCAvantGardeStd-Bk" w:cs="ITCAvantGardeStd-Bk"/>
          <w:color w:val="90A3A5"/>
          <w:sz w:val="24"/>
          <w:szCs w:val="24"/>
        </w:rPr>
        <w:t>..............</w:t>
      </w:r>
      <w:r w:rsidR="007347D6">
        <w:rPr>
          <w:rFonts w:ascii="ITCAvantGardeStd-Bk" w:hAnsi="ITCAvantGardeStd-Bk" w:cs="ITCAvantGardeStd-Bk"/>
          <w:color w:val="90A3A5"/>
          <w:sz w:val="24"/>
          <w:szCs w:val="24"/>
        </w:rPr>
        <w:t>CHMF – Lignes directrices des relations entre les éco-organismes organisationnels et les opérateurs de la gestion des déchets – version du 28 mars 2012.</w:t>
      </w:r>
    </w:p>
    <w:p w:rsidR="00F304FC" w:rsidRDefault="00F304FC"/>
    <w:sectPr w:rsidR="00F304FC" w:rsidSect="00484D71">
      <w:headerReference w:type="default" r:id="rId18"/>
      <w:footerReference w:type="default" r:id="rId19"/>
      <w:pgSz w:w="11906" w:h="16838"/>
      <w:pgMar w:top="1417" w:right="1417" w:bottom="1417" w:left="1417" w:header="0"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4D71" w:rsidRDefault="00484D71" w:rsidP="00484D71">
      <w:pPr>
        <w:spacing w:after="0" w:line="240" w:lineRule="auto"/>
      </w:pPr>
      <w:r>
        <w:separator/>
      </w:r>
    </w:p>
  </w:endnote>
  <w:endnote w:type="continuationSeparator" w:id="0">
    <w:p w:rsidR="00484D71" w:rsidRDefault="00484D71" w:rsidP="00484D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ITCAvantGardeStd-Bk">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ITCAvantGardeStd-Demi">
    <w:panose1 w:val="00000000000000000000"/>
    <w:charset w:val="00"/>
    <w:family w:val="swiss"/>
    <w:notTrueType/>
    <w:pitch w:val="default"/>
    <w:sig w:usb0="00000003" w:usb1="00000000" w:usb2="00000000" w:usb3="00000000" w:csb0="00000001" w:csb1="00000000"/>
  </w:font>
  <w:font w:name="Fengardo">
    <w:panose1 w:val="00000000000000000000"/>
    <w:charset w:val="00"/>
    <w:family w:val="swiss"/>
    <w:notTrueType/>
    <w:pitch w:val="default"/>
    <w:sig w:usb0="00000003" w:usb1="00000000" w:usb2="00000000" w:usb3="00000000" w:csb0="00000001" w:csb1="00000000"/>
  </w:font>
  <w:font w:name="ITCAvantGardeStd-Bold">
    <w:panose1 w:val="00000000000000000000"/>
    <w:charset w:val="00"/>
    <w:family w:val="swiss"/>
    <w:notTrueType/>
    <w:pitch w:val="default"/>
    <w:sig w:usb0="00000003" w:usb1="00000000" w:usb2="00000000" w:usb3="00000000" w:csb0="00000001" w:csb1="00000000"/>
  </w:font>
  <w:font w:name="ITCAvantGardeStd-BkObl">
    <w:panose1 w:val="00000000000000000000"/>
    <w:charset w:val="00"/>
    <w:family w:val="swiss"/>
    <w:notTrueType/>
    <w:pitch w:val="default"/>
    <w:sig w:usb0="00000003" w:usb1="00000000" w:usb2="00000000" w:usb3="00000000" w:csb0="00000001"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1" w:rsidRDefault="00484D71">
    <w:pPr>
      <w:pStyle w:val="Pieddepage"/>
    </w:pPr>
    <w:r w:rsidRPr="004F6CF5">
      <w:rPr>
        <w:noProof/>
        <w:lang w:eastAsia="fr-FR"/>
      </w:rPr>
      <w:drawing>
        <wp:anchor distT="0" distB="0" distL="114300" distR="114300" simplePos="0" relativeHeight="251659264" behindDoc="0" locked="0" layoutInCell="1" allowOverlap="1" wp14:anchorId="54569676" wp14:editId="18D6FC85">
          <wp:simplePos x="0" y="0"/>
          <wp:positionH relativeFrom="column">
            <wp:posOffset>-901700</wp:posOffset>
          </wp:positionH>
          <wp:positionV relativeFrom="page">
            <wp:posOffset>9791065</wp:posOffset>
          </wp:positionV>
          <wp:extent cx="7562850" cy="929748"/>
          <wp:effectExtent l="0" t="0" r="0" b="3810"/>
          <wp:wrapNone/>
          <wp:docPr id="11" name="Image 11" descr="Macintosh HD:ikuki:APAO:2014:Performance &amp; Influence:Valdelia:Autres:Docs Word:BandeauBas.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ikuki:APAO:2014:Performance &amp; Influence:Valdelia:Autres:Docs Word:BandeauBas.ps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62850" cy="929748"/>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1" w:rsidRDefault="00484D71">
    <w:pPr>
      <w:pStyle w:val="Pieddepage"/>
    </w:pPr>
    <w:r w:rsidRPr="004F6CF5">
      <w:rPr>
        <w:noProof/>
        <w:lang w:eastAsia="fr-FR"/>
      </w:rPr>
      <w:drawing>
        <wp:anchor distT="0" distB="0" distL="114300" distR="114300" simplePos="0" relativeHeight="251661312" behindDoc="0" locked="0" layoutInCell="1" allowOverlap="1" wp14:anchorId="61837C0E" wp14:editId="0C3B1FE6">
          <wp:simplePos x="0" y="0"/>
          <wp:positionH relativeFrom="column">
            <wp:posOffset>-901700</wp:posOffset>
          </wp:positionH>
          <wp:positionV relativeFrom="page">
            <wp:posOffset>9791065</wp:posOffset>
          </wp:positionV>
          <wp:extent cx="7562850" cy="929748"/>
          <wp:effectExtent l="0" t="0" r="0" b="3810"/>
          <wp:wrapNone/>
          <wp:docPr id="1" name="Image 1" descr="Macintosh HD:ikuki:APAO:2014:Performance &amp; Influence:Valdelia:Autres:Docs Word:BandeauBas.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ikuki:APAO:2014:Performance &amp; Influence:Valdelia:Autres:Docs Word:BandeauBas.ps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62850" cy="929748"/>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4D71" w:rsidRDefault="00484D71" w:rsidP="00484D71">
      <w:pPr>
        <w:spacing w:after="0" w:line="240" w:lineRule="auto"/>
      </w:pPr>
      <w:r>
        <w:separator/>
      </w:r>
    </w:p>
  </w:footnote>
  <w:footnote w:type="continuationSeparator" w:id="0">
    <w:p w:rsidR="00484D71" w:rsidRDefault="00484D71" w:rsidP="00484D7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1" w:rsidRDefault="00484D71">
    <w:pPr>
      <w:pStyle w:val="En-tte"/>
    </w:pPr>
    <w:r>
      <w:rPr>
        <w:noProof/>
        <w:lang w:eastAsia="fr-FR"/>
      </w:rPr>
      <w:drawing>
        <wp:inline distT="0" distB="0" distL="0" distR="0" wp14:anchorId="063B3E8D" wp14:editId="29DB6A23">
          <wp:extent cx="5760720" cy="826135"/>
          <wp:effectExtent l="0" t="0" r="0" b="0"/>
          <wp:docPr id="9" name="Image 9" descr="Macintosh HD:ikuki:APAO:2014:Performance &amp; Influence:Valdelia:Autres:Docs Word:Bande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ikuki:APAO:2014:Performance &amp; Influence:Valdelia:Autres:Docs Word:Bandeau.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82613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40967"/>
    <w:multiLevelType w:val="hybridMultilevel"/>
    <w:tmpl w:val="D5C43A78"/>
    <w:lvl w:ilvl="0" w:tplc="3C2E41E0">
      <w:start w:val="2"/>
      <w:numFmt w:val="bullet"/>
      <w:lvlText w:val="-"/>
      <w:lvlJc w:val="left"/>
      <w:pPr>
        <w:ind w:left="1080" w:hanging="360"/>
      </w:pPr>
      <w:rPr>
        <w:rFonts w:ascii="ITCAvantGardeStd-Bk" w:eastAsiaTheme="minorHAnsi" w:hAnsi="ITCAvantGardeStd-Bk" w:cs="ITCAvantGardeStd-Bk"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nsid w:val="05FD72A8"/>
    <w:multiLevelType w:val="hybridMultilevel"/>
    <w:tmpl w:val="CAD04B3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65B6E0B"/>
    <w:multiLevelType w:val="hybridMultilevel"/>
    <w:tmpl w:val="BFB4F5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B19640D"/>
    <w:multiLevelType w:val="hybridMultilevel"/>
    <w:tmpl w:val="35986F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C902142"/>
    <w:multiLevelType w:val="hybridMultilevel"/>
    <w:tmpl w:val="2C1E066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2F91965"/>
    <w:multiLevelType w:val="hybridMultilevel"/>
    <w:tmpl w:val="3F424958"/>
    <w:lvl w:ilvl="0" w:tplc="C2E2D96A">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7D62B1C"/>
    <w:multiLevelType w:val="hybridMultilevel"/>
    <w:tmpl w:val="FF0E839A"/>
    <w:lvl w:ilvl="0" w:tplc="97F63346">
      <w:start w:val="3"/>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94C322E"/>
    <w:multiLevelType w:val="hybridMultilevel"/>
    <w:tmpl w:val="9E20C3D2"/>
    <w:lvl w:ilvl="0" w:tplc="72A236BE">
      <w:numFmt w:val="bullet"/>
      <w:lvlText w:val="•"/>
      <w:lvlJc w:val="left"/>
      <w:pPr>
        <w:ind w:left="1069" w:hanging="360"/>
      </w:pPr>
      <w:rPr>
        <w:rFonts w:ascii="ITCAvantGardeStd-Bk" w:eastAsiaTheme="minorHAnsi" w:hAnsi="ITCAvantGardeStd-Bk" w:cs="ITCAvantGardeStd-Bk"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8">
    <w:nsid w:val="19686EFD"/>
    <w:multiLevelType w:val="hybridMultilevel"/>
    <w:tmpl w:val="269476E2"/>
    <w:lvl w:ilvl="0" w:tplc="040C0001">
      <w:start w:val="1"/>
      <w:numFmt w:val="bullet"/>
      <w:lvlText w:val=""/>
      <w:lvlJc w:val="left"/>
      <w:pPr>
        <w:ind w:left="720" w:hanging="360"/>
      </w:pPr>
      <w:rPr>
        <w:rFonts w:ascii="Symbol" w:hAnsi="Symbol" w:hint="default"/>
      </w:rPr>
    </w:lvl>
    <w:lvl w:ilvl="1" w:tplc="040C000D">
      <w:start w:val="1"/>
      <w:numFmt w:val="bullet"/>
      <w:lvlText w:val=""/>
      <w:lvlJc w:val="left"/>
      <w:pPr>
        <w:ind w:left="1440" w:hanging="360"/>
      </w:pPr>
      <w:rPr>
        <w:rFonts w:ascii="Wingdings" w:hAnsi="Wingding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DB6195D"/>
    <w:multiLevelType w:val="hybridMultilevel"/>
    <w:tmpl w:val="9404FC4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F3575E7"/>
    <w:multiLevelType w:val="hybridMultilevel"/>
    <w:tmpl w:val="F03E077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FD02E7E"/>
    <w:multiLevelType w:val="hybridMultilevel"/>
    <w:tmpl w:val="A126A0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EE1200A"/>
    <w:multiLevelType w:val="hybridMultilevel"/>
    <w:tmpl w:val="B80AFFF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nsid w:val="2FBA2B8E"/>
    <w:multiLevelType w:val="hybridMultilevel"/>
    <w:tmpl w:val="5AAAB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4A1530F"/>
    <w:multiLevelType w:val="hybridMultilevel"/>
    <w:tmpl w:val="966057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5926243"/>
    <w:multiLevelType w:val="hybridMultilevel"/>
    <w:tmpl w:val="BA3055FA"/>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6">
    <w:nsid w:val="391B00B8"/>
    <w:multiLevelType w:val="hybridMultilevel"/>
    <w:tmpl w:val="7C94BF5C"/>
    <w:lvl w:ilvl="0" w:tplc="97F63346">
      <w:start w:val="3"/>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D801DB9"/>
    <w:multiLevelType w:val="hybridMultilevel"/>
    <w:tmpl w:val="EB06FD6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F137898"/>
    <w:multiLevelType w:val="hybridMultilevel"/>
    <w:tmpl w:val="58F8AB3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nsid w:val="44D97278"/>
    <w:multiLevelType w:val="hybridMultilevel"/>
    <w:tmpl w:val="707CE042"/>
    <w:lvl w:ilvl="0" w:tplc="97F63346">
      <w:start w:val="3"/>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7EA2A92"/>
    <w:multiLevelType w:val="hybridMultilevel"/>
    <w:tmpl w:val="B6C2C4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2374DA3"/>
    <w:multiLevelType w:val="hybridMultilevel"/>
    <w:tmpl w:val="479CBDE6"/>
    <w:lvl w:ilvl="0" w:tplc="3C2E41E0">
      <w:start w:val="6"/>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2FD7A96"/>
    <w:multiLevelType w:val="hybridMultilevel"/>
    <w:tmpl w:val="41A82F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4020EF7"/>
    <w:multiLevelType w:val="hybridMultilevel"/>
    <w:tmpl w:val="B91C14C2"/>
    <w:lvl w:ilvl="0" w:tplc="97F63346">
      <w:start w:val="3"/>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4505283"/>
    <w:multiLevelType w:val="hybridMultilevel"/>
    <w:tmpl w:val="89E483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9317CA2"/>
    <w:multiLevelType w:val="hybridMultilevel"/>
    <w:tmpl w:val="590E05B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9B4204E"/>
    <w:multiLevelType w:val="hybridMultilevel"/>
    <w:tmpl w:val="2752B9F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AEC1B10"/>
    <w:multiLevelType w:val="hybridMultilevel"/>
    <w:tmpl w:val="C6C029F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8">
    <w:nsid w:val="6B53302C"/>
    <w:multiLevelType w:val="hybridMultilevel"/>
    <w:tmpl w:val="7E482D06"/>
    <w:lvl w:ilvl="0" w:tplc="97F63346">
      <w:numFmt w:val="bullet"/>
      <w:lvlText w:val="-"/>
      <w:lvlJc w:val="left"/>
      <w:pPr>
        <w:ind w:left="720" w:hanging="360"/>
      </w:pPr>
      <w:rPr>
        <w:rFonts w:ascii="ITCAvantGardeStd-Bk" w:eastAsiaTheme="minorHAnsi" w:hAnsi="ITCAvantGardeStd-Bk" w:cs="ITCAvantGardeStd-B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29D3FCD"/>
    <w:multiLevelType w:val="hybridMultilevel"/>
    <w:tmpl w:val="D706B5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2D07834"/>
    <w:multiLevelType w:val="hybridMultilevel"/>
    <w:tmpl w:val="4A3658C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69E6900"/>
    <w:multiLevelType w:val="hybridMultilevel"/>
    <w:tmpl w:val="F92C8E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86B02D2"/>
    <w:multiLevelType w:val="hybridMultilevel"/>
    <w:tmpl w:val="B07C15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A7F3161"/>
    <w:multiLevelType w:val="hybridMultilevel"/>
    <w:tmpl w:val="2D20AD2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25"/>
  </w:num>
  <w:num w:numId="3">
    <w:abstractNumId w:val="30"/>
  </w:num>
  <w:num w:numId="4">
    <w:abstractNumId w:val="9"/>
  </w:num>
  <w:num w:numId="5">
    <w:abstractNumId w:val="1"/>
  </w:num>
  <w:num w:numId="6">
    <w:abstractNumId w:val="33"/>
  </w:num>
  <w:num w:numId="7">
    <w:abstractNumId w:val="4"/>
  </w:num>
  <w:num w:numId="8">
    <w:abstractNumId w:val="15"/>
  </w:num>
  <w:num w:numId="9">
    <w:abstractNumId w:val="7"/>
  </w:num>
  <w:num w:numId="10">
    <w:abstractNumId w:val="14"/>
  </w:num>
  <w:num w:numId="11">
    <w:abstractNumId w:val="24"/>
  </w:num>
  <w:num w:numId="12">
    <w:abstractNumId w:val="27"/>
  </w:num>
  <w:num w:numId="13">
    <w:abstractNumId w:val="11"/>
  </w:num>
  <w:num w:numId="14">
    <w:abstractNumId w:val="29"/>
  </w:num>
  <w:num w:numId="15">
    <w:abstractNumId w:val="21"/>
  </w:num>
  <w:num w:numId="16">
    <w:abstractNumId w:val="0"/>
  </w:num>
  <w:num w:numId="17">
    <w:abstractNumId w:val="12"/>
  </w:num>
  <w:num w:numId="18">
    <w:abstractNumId w:val="22"/>
  </w:num>
  <w:num w:numId="19">
    <w:abstractNumId w:val="32"/>
  </w:num>
  <w:num w:numId="20">
    <w:abstractNumId w:val="13"/>
  </w:num>
  <w:num w:numId="21">
    <w:abstractNumId w:val="18"/>
  </w:num>
  <w:num w:numId="22">
    <w:abstractNumId w:val="31"/>
  </w:num>
  <w:num w:numId="23">
    <w:abstractNumId w:val="17"/>
  </w:num>
  <w:num w:numId="24">
    <w:abstractNumId w:val="8"/>
  </w:num>
  <w:num w:numId="25">
    <w:abstractNumId w:val="26"/>
  </w:num>
  <w:num w:numId="26">
    <w:abstractNumId w:val="5"/>
  </w:num>
  <w:num w:numId="27">
    <w:abstractNumId w:val="23"/>
  </w:num>
  <w:num w:numId="28">
    <w:abstractNumId w:val="28"/>
  </w:num>
  <w:num w:numId="29">
    <w:abstractNumId w:val="19"/>
  </w:num>
  <w:num w:numId="30">
    <w:abstractNumId w:val="16"/>
  </w:num>
  <w:num w:numId="31">
    <w:abstractNumId w:val="6"/>
  </w:num>
  <w:num w:numId="32">
    <w:abstractNumId w:val="20"/>
  </w:num>
  <w:num w:numId="33">
    <w:abstractNumId w:val="3"/>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47D6"/>
    <w:rsid w:val="00002B20"/>
    <w:rsid w:val="00003E4D"/>
    <w:rsid w:val="000427D2"/>
    <w:rsid w:val="00062966"/>
    <w:rsid w:val="000B19C8"/>
    <w:rsid w:val="000B44B2"/>
    <w:rsid w:val="00117422"/>
    <w:rsid w:val="00144DC0"/>
    <w:rsid w:val="001B6E6E"/>
    <w:rsid w:val="001C15B9"/>
    <w:rsid w:val="001C306A"/>
    <w:rsid w:val="001E0387"/>
    <w:rsid w:val="00232E5D"/>
    <w:rsid w:val="002B75BE"/>
    <w:rsid w:val="002E0F04"/>
    <w:rsid w:val="002F3C49"/>
    <w:rsid w:val="00331DAA"/>
    <w:rsid w:val="00391DE4"/>
    <w:rsid w:val="003A789E"/>
    <w:rsid w:val="003E524D"/>
    <w:rsid w:val="00402C12"/>
    <w:rsid w:val="00445314"/>
    <w:rsid w:val="00484D71"/>
    <w:rsid w:val="0049774E"/>
    <w:rsid w:val="004D6FCB"/>
    <w:rsid w:val="00504032"/>
    <w:rsid w:val="00526169"/>
    <w:rsid w:val="0053057D"/>
    <w:rsid w:val="00544EDC"/>
    <w:rsid w:val="00592453"/>
    <w:rsid w:val="006A7BC6"/>
    <w:rsid w:val="006E7F25"/>
    <w:rsid w:val="00701BA1"/>
    <w:rsid w:val="00712DC8"/>
    <w:rsid w:val="007279E2"/>
    <w:rsid w:val="007347D6"/>
    <w:rsid w:val="00772AB5"/>
    <w:rsid w:val="007A0589"/>
    <w:rsid w:val="007A4218"/>
    <w:rsid w:val="007C3E20"/>
    <w:rsid w:val="007E64CD"/>
    <w:rsid w:val="00831791"/>
    <w:rsid w:val="0083526A"/>
    <w:rsid w:val="00836503"/>
    <w:rsid w:val="00890534"/>
    <w:rsid w:val="008B1D9E"/>
    <w:rsid w:val="00904097"/>
    <w:rsid w:val="00935E16"/>
    <w:rsid w:val="0097610B"/>
    <w:rsid w:val="009F615F"/>
    <w:rsid w:val="00A10A48"/>
    <w:rsid w:val="00A77EC6"/>
    <w:rsid w:val="00AE08D9"/>
    <w:rsid w:val="00B1398D"/>
    <w:rsid w:val="00B424F6"/>
    <w:rsid w:val="00B85983"/>
    <w:rsid w:val="00BB1C34"/>
    <w:rsid w:val="00C362C8"/>
    <w:rsid w:val="00C620E5"/>
    <w:rsid w:val="00C76A30"/>
    <w:rsid w:val="00C923C8"/>
    <w:rsid w:val="00C96B8B"/>
    <w:rsid w:val="00CA650E"/>
    <w:rsid w:val="00D146F3"/>
    <w:rsid w:val="00D33DB1"/>
    <w:rsid w:val="00D43837"/>
    <w:rsid w:val="00D45F1B"/>
    <w:rsid w:val="00D951F0"/>
    <w:rsid w:val="00DB3B02"/>
    <w:rsid w:val="00DC7148"/>
    <w:rsid w:val="00E011FB"/>
    <w:rsid w:val="00E11820"/>
    <w:rsid w:val="00E34FF2"/>
    <w:rsid w:val="00E42261"/>
    <w:rsid w:val="00E71A74"/>
    <w:rsid w:val="00E73A3B"/>
    <w:rsid w:val="00EA478F"/>
    <w:rsid w:val="00EB796D"/>
    <w:rsid w:val="00F304FC"/>
    <w:rsid w:val="00F44BF6"/>
    <w:rsid w:val="00F87B38"/>
    <w:rsid w:val="00FB4D0C"/>
    <w:rsid w:val="00FE49A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7D6"/>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7347D6"/>
    <w:rPr>
      <w:color w:val="0563C1" w:themeColor="hyperlink"/>
      <w:u w:val="single"/>
    </w:rPr>
  </w:style>
  <w:style w:type="paragraph" w:styleId="Textedebulles">
    <w:name w:val="Balloon Text"/>
    <w:basedOn w:val="Normal"/>
    <w:link w:val="TextedebullesCar"/>
    <w:uiPriority w:val="99"/>
    <w:semiHidden/>
    <w:unhideWhenUsed/>
    <w:rsid w:val="007347D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347D6"/>
    <w:rPr>
      <w:rFonts w:ascii="Tahoma" w:hAnsi="Tahoma" w:cs="Tahoma"/>
      <w:sz w:val="16"/>
      <w:szCs w:val="16"/>
    </w:rPr>
  </w:style>
  <w:style w:type="paragraph" w:styleId="Commentaire">
    <w:name w:val="annotation text"/>
    <w:basedOn w:val="Normal"/>
    <w:link w:val="CommentaireCar"/>
    <w:uiPriority w:val="99"/>
    <w:semiHidden/>
    <w:unhideWhenUsed/>
    <w:rsid w:val="007347D6"/>
    <w:pPr>
      <w:spacing w:line="240" w:lineRule="auto"/>
    </w:pPr>
    <w:rPr>
      <w:sz w:val="20"/>
      <w:szCs w:val="20"/>
    </w:rPr>
  </w:style>
  <w:style w:type="character" w:customStyle="1" w:styleId="CommentaireCar">
    <w:name w:val="Commentaire Car"/>
    <w:basedOn w:val="Policepardfaut"/>
    <w:link w:val="Commentaire"/>
    <w:uiPriority w:val="99"/>
    <w:semiHidden/>
    <w:rsid w:val="007347D6"/>
    <w:rPr>
      <w:sz w:val="20"/>
      <w:szCs w:val="20"/>
    </w:rPr>
  </w:style>
  <w:style w:type="paragraph" w:styleId="Objetducommentaire">
    <w:name w:val="annotation subject"/>
    <w:basedOn w:val="Commentaire"/>
    <w:next w:val="Commentaire"/>
    <w:link w:val="ObjetducommentaireCar"/>
    <w:uiPriority w:val="99"/>
    <w:semiHidden/>
    <w:unhideWhenUsed/>
    <w:rsid w:val="007347D6"/>
    <w:rPr>
      <w:b/>
      <w:bCs/>
    </w:rPr>
  </w:style>
  <w:style w:type="character" w:customStyle="1" w:styleId="ObjetducommentaireCar">
    <w:name w:val="Objet du commentaire Car"/>
    <w:basedOn w:val="CommentaireCar"/>
    <w:link w:val="Objetducommentaire"/>
    <w:uiPriority w:val="99"/>
    <w:semiHidden/>
    <w:rsid w:val="007347D6"/>
    <w:rPr>
      <w:b/>
      <w:bCs/>
      <w:sz w:val="20"/>
      <w:szCs w:val="20"/>
    </w:rPr>
  </w:style>
  <w:style w:type="paragraph" w:styleId="Paragraphedeliste">
    <w:name w:val="List Paragraph"/>
    <w:basedOn w:val="Normal"/>
    <w:uiPriority w:val="34"/>
    <w:qFormat/>
    <w:rsid w:val="007347D6"/>
    <w:pPr>
      <w:ind w:left="720"/>
      <w:contextualSpacing/>
    </w:pPr>
  </w:style>
  <w:style w:type="paragraph" w:styleId="TM1">
    <w:name w:val="toc 1"/>
    <w:basedOn w:val="Normal"/>
    <w:uiPriority w:val="39"/>
    <w:rsid w:val="007347D6"/>
    <w:pPr>
      <w:tabs>
        <w:tab w:val="right" w:leader="dot" w:pos="9637"/>
      </w:tabs>
      <w:suppressAutoHyphens/>
      <w:jc w:val="both"/>
    </w:pPr>
    <w:rPr>
      <w:rFonts w:ascii="Century Gothic" w:eastAsia="Calibri" w:hAnsi="Century Gothic" w:cs="Times New Roman"/>
      <w:kern w:val="1"/>
      <w:lang w:eastAsia="ar-SA"/>
    </w:rPr>
  </w:style>
  <w:style w:type="paragraph" w:customStyle="1" w:styleId="Default">
    <w:name w:val="Default"/>
    <w:rsid w:val="007347D6"/>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iPriority w:val="99"/>
    <w:unhideWhenUsed/>
    <w:rsid w:val="00484D71"/>
    <w:pPr>
      <w:tabs>
        <w:tab w:val="center" w:pos="4536"/>
        <w:tab w:val="right" w:pos="9072"/>
      </w:tabs>
      <w:spacing w:after="0" w:line="240" w:lineRule="auto"/>
    </w:pPr>
  </w:style>
  <w:style w:type="character" w:customStyle="1" w:styleId="En-tteCar">
    <w:name w:val="En-tête Car"/>
    <w:basedOn w:val="Policepardfaut"/>
    <w:link w:val="En-tte"/>
    <w:uiPriority w:val="99"/>
    <w:rsid w:val="00484D71"/>
  </w:style>
  <w:style w:type="paragraph" w:styleId="Pieddepage">
    <w:name w:val="footer"/>
    <w:basedOn w:val="Normal"/>
    <w:link w:val="PieddepageCar"/>
    <w:uiPriority w:val="99"/>
    <w:unhideWhenUsed/>
    <w:rsid w:val="00484D7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84D7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7D6"/>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7347D6"/>
    <w:rPr>
      <w:color w:val="0563C1" w:themeColor="hyperlink"/>
      <w:u w:val="single"/>
    </w:rPr>
  </w:style>
  <w:style w:type="paragraph" w:styleId="Textedebulles">
    <w:name w:val="Balloon Text"/>
    <w:basedOn w:val="Normal"/>
    <w:link w:val="TextedebullesCar"/>
    <w:uiPriority w:val="99"/>
    <w:semiHidden/>
    <w:unhideWhenUsed/>
    <w:rsid w:val="007347D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347D6"/>
    <w:rPr>
      <w:rFonts w:ascii="Tahoma" w:hAnsi="Tahoma" w:cs="Tahoma"/>
      <w:sz w:val="16"/>
      <w:szCs w:val="16"/>
    </w:rPr>
  </w:style>
  <w:style w:type="paragraph" w:styleId="Commentaire">
    <w:name w:val="annotation text"/>
    <w:basedOn w:val="Normal"/>
    <w:link w:val="CommentaireCar"/>
    <w:uiPriority w:val="99"/>
    <w:semiHidden/>
    <w:unhideWhenUsed/>
    <w:rsid w:val="007347D6"/>
    <w:pPr>
      <w:spacing w:line="240" w:lineRule="auto"/>
    </w:pPr>
    <w:rPr>
      <w:sz w:val="20"/>
      <w:szCs w:val="20"/>
    </w:rPr>
  </w:style>
  <w:style w:type="character" w:customStyle="1" w:styleId="CommentaireCar">
    <w:name w:val="Commentaire Car"/>
    <w:basedOn w:val="Policepardfaut"/>
    <w:link w:val="Commentaire"/>
    <w:uiPriority w:val="99"/>
    <w:semiHidden/>
    <w:rsid w:val="007347D6"/>
    <w:rPr>
      <w:sz w:val="20"/>
      <w:szCs w:val="20"/>
    </w:rPr>
  </w:style>
  <w:style w:type="paragraph" w:styleId="Objetducommentaire">
    <w:name w:val="annotation subject"/>
    <w:basedOn w:val="Commentaire"/>
    <w:next w:val="Commentaire"/>
    <w:link w:val="ObjetducommentaireCar"/>
    <w:uiPriority w:val="99"/>
    <w:semiHidden/>
    <w:unhideWhenUsed/>
    <w:rsid w:val="007347D6"/>
    <w:rPr>
      <w:b/>
      <w:bCs/>
    </w:rPr>
  </w:style>
  <w:style w:type="character" w:customStyle="1" w:styleId="ObjetducommentaireCar">
    <w:name w:val="Objet du commentaire Car"/>
    <w:basedOn w:val="CommentaireCar"/>
    <w:link w:val="Objetducommentaire"/>
    <w:uiPriority w:val="99"/>
    <w:semiHidden/>
    <w:rsid w:val="007347D6"/>
    <w:rPr>
      <w:b/>
      <w:bCs/>
      <w:sz w:val="20"/>
      <w:szCs w:val="20"/>
    </w:rPr>
  </w:style>
  <w:style w:type="paragraph" w:styleId="Paragraphedeliste">
    <w:name w:val="List Paragraph"/>
    <w:basedOn w:val="Normal"/>
    <w:uiPriority w:val="34"/>
    <w:qFormat/>
    <w:rsid w:val="007347D6"/>
    <w:pPr>
      <w:ind w:left="720"/>
      <w:contextualSpacing/>
    </w:pPr>
  </w:style>
  <w:style w:type="paragraph" w:styleId="TM1">
    <w:name w:val="toc 1"/>
    <w:basedOn w:val="Normal"/>
    <w:uiPriority w:val="39"/>
    <w:rsid w:val="007347D6"/>
    <w:pPr>
      <w:tabs>
        <w:tab w:val="right" w:leader="dot" w:pos="9637"/>
      </w:tabs>
      <w:suppressAutoHyphens/>
      <w:jc w:val="both"/>
    </w:pPr>
    <w:rPr>
      <w:rFonts w:ascii="Century Gothic" w:eastAsia="Calibri" w:hAnsi="Century Gothic" w:cs="Times New Roman"/>
      <w:kern w:val="1"/>
      <w:lang w:eastAsia="ar-SA"/>
    </w:rPr>
  </w:style>
  <w:style w:type="paragraph" w:customStyle="1" w:styleId="Default">
    <w:name w:val="Default"/>
    <w:rsid w:val="007347D6"/>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iPriority w:val="99"/>
    <w:unhideWhenUsed/>
    <w:rsid w:val="00484D71"/>
    <w:pPr>
      <w:tabs>
        <w:tab w:val="center" w:pos="4536"/>
        <w:tab w:val="right" w:pos="9072"/>
      </w:tabs>
      <w:spacing w:after="0" w:line="240" w:lineRule="auto"/>
    </w:pPr>
  </w:style>
  <w:style w:type="character" w:customStyle="1" w:styleId="En-tteCar">
    <w:name w:val="En-tête Car"/>
    <w:basedOn w:val="Policepardfaut"/>
    <w:link w:val="En-tte"/>
    <w:uiPriority w:val="99"/>
    <w:rsid w:val="00484D71"/>
  </w:style>
  <w:style w:type="paragraph" w:styleId="Pieddepage">
    <w:name w:val="footer"/>
    <w:basedOn w:val="Normal"/>
    <w:link w:val="PieddepageCar"/>
    <w:uiPriority w:val="99"/>
    <w:unhideWhenUsed/>
    <w:rsid w:val="00484D7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84D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www.valdelia.org/les-appels-doffres"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valdelia.org/les-points-dapports-volontaires-et-les-structures-de-leconomie-socialeet-solidaire" TargetMode="External"/><Relationship Id="rId10" Type="http://schemas.openxmlformats.org/officeDocument/2006/relationships/hyperlink" Target="mailto:appeloffres@valdelia.org"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valdelia.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29E8BA-08EE-4269-AD4F-EB3EF50D47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7920</Words>
  <Characters>43561</Characters>
  <Application>Microsoft Office Word</Application>
  <DocSecurity>0</DocSecurity>
  <Lines>363</Lines>
  <Paragraphs>102</Paragraphs>
  <ScaleCrop>false</ScaleCrop>
  <HeadingPairs>
    <vt:vector size="2" baseType="variant">
      <vt:variant>
        <vt:lpstr>Titre</vt:lpstr>
      </vt:variant>
      <vt:variant>
        <vt:i4>1</vt:i4>
      </vt:variant>
    </vt:vector>
  </HeadingPairs>
  <TitlesOfParts>
    <vt:vector size="1" baseType="lpstr">
      <vt:lpstr/>
    </vt:vector>
  </TitlesOfParts>
  <Company>MB2I-IDF</Company>
  <LinksUpToDate>false</LinksUpToDate>
  <CharactersWithSpaces>51379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Nathalie BRETON</dc:creator>
  <cp:lastModifiedBy>Florence de MENGIN FONDRAGON</cp:lastModifiedBy>
  <cp:revision>2</cp:revision>
  <cp:lastPrinted>2015-03-27T13:40:00Z</cp:lastPrinted>
  <dcterms:created xsi:type="dcterms:W3CDTF">2015-03-27T13:40:00Z</dcterms:created>
  <dcterms:modified xsi:type="dcterms:W3CDTF">2015-03-27T13:40:00Z</dcterms:modified>
</cp:coreProperties>
</file>